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A2A3" w14:textId="77777777" w:rsidR="00FC1DC8" w:rsidRDefault="00167F07" w:rsidP="00FC1DC8">
      <w:pPr>
        <w:numPr>
          <w:ilvl w:val="0"/>
          <w:numId w:val="17"/>
        </w:numPr>
        <w:spacing w:after="120"/>
        <w:jc w:val="both"/>
        <w:rPr>
          <w:rFonts w:cs="Arial"/>
          <w:sz w:val="22"/>
          <w:szCs w:val="22"/>
        </w:rPr>
      </w:pPr>
      <w:r w:rsidRPr="0065577C">
        <w:rPr>
          <w:rFonts w:cs="Arial"/>
          <w:b/>
          <w:color w:val="000000"/>
          <w:sz w:val="22"/>
          <w:szCs w:val="22"/>
        </w:rPr>
        <w:t>OBJETIV</w:t>
      </w:r>
      <w:bookmarkStart w:id="0" w:name="_GoBack"/>
      <w:bookmarkEnd w:id="0"/>
      <w:r w:rsidRPr="0065577C">
        <w:rPr>
          <w:rFonts w:cs="Arial"/>
          <w:b/>
          <w:color w:val="000000"/>
          <w:sz w:val="22"/>
          <w:szCs w:val="22"/>
        </w:rPr>
        <w:t>O:</w:t>
      </w:r>
      <w:r w:rsidR="00656C14">
        <w:rPr>
          <w:rFonts w:cs="Arial"/>
          <w:sz w:val="22"/>
          <w:szCs w:val="22"/>
          <w:lang w:val="es-MX"/>
        </w:rPr>
        <w:t xml:space="preserve"> </w:t>
      </w:r>
      <w:r w:rsidR="00FC1DC8" w:rsidRPr="00075EAA">
        <w:rPr>
          <w:rFonts w:cs="Arial"/>
          <w:sz w:val="22"/>
          <w:szCs w:val="22"/>
        </w:rPr>
        <w:t>Definir las actividades para llevar a cabo la evaluación independiente al Sistema de Control Interno de la Corporación, en el marco de la dimensión siete del Modelo Integrado de Planeación y Gestión, denominada Control Interno, y de la normatividad legal aplicable. </w:t>
      </w:r>
    </w:p>
    <w:p w14:paraId="45E341F3" w14:textId="77777777" w:rsidR="00C876A3" w:rsidRPr="00656C14" w:rsidRDefault="00C876A3" w:rsidP="00C876A3">
      <w:pPr>
        <w:spacing w:after="120"/>
        <w:ind w:left="360"/>
        <w:jc w:val="both"/>
        <w:rPr>
          <w:rFonts w:cs="Arial"/>
          <w:sz w:val="22"/>
          <w:szCs w:val="22"/>
        </w:rPr>
      </w:pPr>
    </w:p>
    <w:p w14:paraId="3A65CEFC" w14:textId="77777777" w:rsidR="004D25C7" w:rsidRDefault="00034081" w:rsidP="0065577C">
      <w:pPr>
        <w:numPr>
          <w:ilvl w:val="0"/>
          <w:numId w:val="17"/>
        </w:numPr>
        <w:spacing w:after="120"/>
        <w:jc w:val="both"/>
        <w:rPr>
          <w:rFonts w:cs="Arial"/>
          <w:sz w:val="22"/>
          <w:szCs w:val="22"/>
        </w:rPr>
      </w:pPr>
      <w:r w:rsidRPr="0065577C">
        <w:rPr>
          <w:rFonts w:cs="Arial"/>
          <w:b/>
          <w:color w:val="000000"/>
          <w:sz w:val="22"/>
          <w:szCs w:val="22"/>
        </w:rPr>
        <w:t>ALCANCE</w:t>
      </w:r>
      <w:r w:rsidR="00167F07" w:rsidRPr="0065577C">
        <w:rPr>
          <w:rFonts w:cs="Arial"/>
          <w:b/>
          <w:color w:val="000000"/>
          <w:sz w:val="22"/>
          <w:szCs w:val="22"/>
        </w:rPr>
        <w:t xml:space="preserve">: </w:t>
      </w:r>
      <w:r w:rsidR="0065577C" w:rsidRPr="0065577C">
        <w:rPr>
          <w:rFonts w:cs="Arial"/>
          <w:sz w:val="22"/>
          <w:szCs w:val="22"/>
        </w:rPr>
        <w:t>Este procedimiento aplica para la identificación, evaluación y generación de autocontrol en la entidad</w:t>
      </w:r>
      <w:r w:rsidR="004D25C7">
        <w:rPr>
          <w:rFonts w:cs="Arial"/>
          <w:sz w:val="22"/>
          <w:szCs w:val="22"/>
        </w:rPr>
        <w:t xml:space="preserve"> que i</w:t>
      </w:r>
      <w:r w:rsidR="004D25C7" w:rsidRPr="00075EAA">
        <w:rPr>
          <w:rFonts w:cs="Arial"/>
          <w:sz w:val="22"/>
          <w:szCs w:val="22"/>
        </w:rPr>
        <w:t>nicia con la definición del Plan Anual de Trabajo de la Oficina de Control Interno y finaliza con la identificación de acciones de mejora</w:t>
      </w:r>
      <w:r w:rsidR="00C876A3">
        <w:rPr>
          <w:rFonts w:cs="Arial"/>
          <w:sz w:val="22"/>
          <w:szCs w:val="22"/>
        </w:rPr>
        <w:t>.</w:t>
      </w:r>
    </w:p>
    <w:p w14:paraId="6EC26CDD" w14:textId="77777777" w:rsidR="00C876A3" w:rsidRPr="0065577C" w:rsidRDefault="00C876A3" w:rsidP="00C876A3">
      <w:pPr>
        <w:spacing w:after="120"/>
        <w:jc w:val="both"/>
        <w:rPr>
          <w:rFonts w:cs="Arial"/>
          <w:sz w:val="22"/>
          <w:szCs w:val="22"/>
        </w:rPr>
      </w:pPr>
    </w:p>
    <w:p w14:paraId="33D759E4" w14:textId="77777777" w:rsidR="00167F07" w:rsidRDefault="00167F07" w:rsidP="0065577C">
      <w:pPr>
        <w:numPr>
          <w:ilvl w:val="0"/>
          <w:numId w:val="17"/>
        </w:numPr>
        <w:spacing w:after="120"/>
        <w:jc w:val="both"/>
        <w:rPr>
          <w:rFonts w:cs="Arial"/>
          <w:sz w:val="22"/>
          <w:szCs w:val="22"/>
        </w:rPr>
      </w:pPr>
      <w:r w:rsidRPr="0065577C">
        <w:rPr>
          <w:rFonts w:cs="Arial"/>
          <w:b/>
          <w:sz w:val="22"/>
          <w:szCs w:val="22"/>
        </w:rPr>
        <w:t xml:space="preserve">RESPONSABLE: </w:t>
      </w:r>
      <w:r w:rsidR="0065577C" w:rsidRPr="0065577C">
        <w:rPr>
          <w:rFonts w:cs="Arial"/>
          <w:sz w:val="22"/>
          <w:szCs w:val="22"/>
        </w:rPr>
        <w:t>Jefe de Control Interno</w:t>
      </w:r>
    </w:p>
    <w:p w14:paraId="67A04030" w14:textId="77777777" w:rsidR="00C876A3" w:rsidRPr="0065577C" w:rsidRDefault="00C876A3" w:rsidP="00C876A3">
      <w:pPr>
        <w:spacing w:after="120"/>
        <w:jc w:val="both"/>
        <w:rPr>
          <w:rFonts w:cs="Arial"/>
          <w:sz w:val="22"/>
          <w:szCs w:val="22"/>
        </w:rPr>
      </w:pPr>
    </w:p>
    <w:p w14:paraId="09CB72C4" w14:textId="77777777" w:rsidR="00167F07" w:rsidRPr="0065577C" w:rsidRDefault="00167F07" w:rsidP="0065577C">
      <w:pPr>
        <w:numPr>
          <w:ilvl w:val="0"/>
          <w:numId w:val="17"/>
        </w:numPr>
        <w:spacing w:after="120"/>
        <w:jc w:val="both"/>
        <w:rPr>
          <w:rFonts w:cs="Arial"/>
          <w:sz w:val="22"/>
          <w:szCs w:val="22"/>
        </w:rPr>
      </w:pPr>
      <w:r w:rsidRPr="0065577C">
        <w:rPr>
          <w:rFonts w:cs="Arial"/>
          <w:b/>
          <w:sz w:val="22"/>
          <w:szCs w:val="22"/>
        </w:rPr>
        <w:t>DEFINICIONES</w:t>
      </w:r>
      <w:r w:rsidR="00F576AA" w:rsidRPr="0065577C">
        <w:rPr>
          <w:rFonts w:cs="Arial"/>
          <w:b/>
          <w:sz w:val="22"/>
          <w:szCs w:val="22"/>
        </w:rPr>
        <w:t>:</w:t>
      </w:r>
    </w:p>
    <w:p w14:paraId="5CFE904F" w14:textId="77777777" w:rsidR="0065577C" w:rsidRDefault="0065577C" w:rsidP="00C876A3">
      <w:pPr>
        <w:spacing w:after="120"/>
        <w:ind w:left="360"/>
        <w:jc w:val="both"/>
        <w:rPr>
          <w:rFonts w:cs="Arial"/>
          <w:sz w:val="22"/>
          <w:szCs w:val="22"/>
        </w:rPr>
      </w:pPr>
      <w:r w:rsidRPr="0065577C">
        <w:rPr>
          <w:rFonts w:cs="Arial"/>
          <w:sz w:val="22"/>
          <w:szCs w:val="22"/>
        </w:rPr>
        <w:t>N.A.</w:t>
      </w:r>
    </w:p>
    <w:p w14:paraId="2CF30F00" w14:textId="77777777" w:rsidR="00C876A3" w:rsidRPr="0065577C" w:rsidRDefault="00C876A3" w:rsidP="00C876A3">
      <w:pPr>
        <w:spacing w:after="120"/>
        <w:ind w:left="360"/>
        <w:jc w:val="both"/>
        <w:rPr>
          <w:rFonts w:cs="Arial"/>
          <w:sz w:val="22"/>
          <w:szCs w:val="22"/>
        </w:rPr>
      </w:pPr>
    </w:p>
    <w:p w14:paraId="039346D9" w14:textId="77777777" w:rsidR="00C876A3" w:rsidRPr="00C876A3" w:rsidRDefault="00FD1314" w:rsidP="00C876A3">
      <w:pPr>
        <w:numPr>
          <w:ilvl w:val="0"/>
          <w:numId w:val="17"/>
        </w:numPr>
        <w:spacing w:after="120"/>
        <w:jc w:val="both"/>
        <w:rPr>
          <w:rFonts w:cs="Arial"/>
          <w:b/>
          <w:sz w:val="22"/>
          <w:szCs w:val="22"/>
        </w:rPr>
      </w:pPr>
      <w:r w:rsidRPr="0065577C">
        <w:rPr>
          <w:rFonts w:cs="Arial"/>
          <w:b/>
          <w:sz w:val="22"/>
          <w:szCs w:val="22"/>
        </w:rPr>
        <w:t>CONDICIONES GENERALES:</w:t>
      </w:r>
    </w:p>
    <w:p w14:paraId="4411B020" w14:textId="77777777" w:rsidR="00C876A3" w:rsidRPr="00C876A3" w:rsidRDefault="0065577C" w:rsidP="00C876A3">
      <w:pPr>
        <w:numPr>
          <w:ilvl w:val="0"/>
          <w:numId w:val="25"/>
        </w:numPr>
        <w:spacing w:after="120"/>
        <w:rPr>
          <w:rFonts w:cs="Arial"/>
          <w:b/>
          <w:sz w:val="22"/>
          <w:szCs w:val="22"/>
        </w:rPr>
      </w:pPr>
      <w:r w:rsidRPr="0065577C">
        <w:rPr>
          <w:rFonts w:cs="Arial"/>
          <w:sz w:val="22"/>
          <w:szCs w:val="22"/>
        </w:rPr>
        <w:t>La realización de las labores organizacionales tendrán implícitas las actividades de autocontrol y mejoramiento continuo</w:t>
      </w:r>
      <w:r w:rsidR="00F82A6E">
        <w:rPr>
          <w:rFonts w:cs="Arial"/>
          <w:sz w:val="22"/>
          <w:szCs w:val="22"/>
        </w:rPr>
        <w:t>.</w:t>
      </w:r>
    </w:p>
    <w:p w14:paraId="759E856D" w14:textId="77777777" w:rsidR="0065577C" w:rsidRPr="0065577C" w:rsidRDefault="0065577C" w:rsidP="0065577C">
      <w:pPr>
        <w:numPr>
          <w:ilvl w:val="0"/>
          <w:numId w:val="25"/>
        </w:numPr>
        <w:spacing w:after="120"/>
        <w:rPr>
          <w:rFonts w:cs="Arial"/>
          <w:b/>
          <w:sz w:val="22"/>
          <w:szCs w:val="22"/>
        </w:rPr>
      </w:pPr>
      <w:r w:rsidRPr="0065577C">
        <w:rPr>
          <w:rFonts w:cs="Arial"/>
          <w:sz w:val="22"/>
          <w:szCs w:val="22"/>
        </w:rPr>
        <w:t>Realización permanente de controles para verificar el estado de la gestión</w:t>
      </w:r>
      <w:r w:rsidR="0014539E">
        <w:rPr>
          <w:rFonts w:cs="Arial"/>
          <w:sz w:val="22"/>
          <w:szCs w:val="22"/>
        </w:rPr>
        <w:t>.</w:t>
      </w:r>
    </w:p>
    <w:p w14:paraId="5D71A394" w14:textId="77777777" w:rsidR="0065577C" w:rsidRPr="0065577C" w:rsidRDefault="0065577C" w:rsidP="0065577C">
      <w:pPr>
        <w:numPr>
          <w:ilvl w:val="0"/>
          <w:numId w:val="25"/>
        </w:numPr>
        <w:spacing w:after="120"/>
        <w:rPr>
          <w:rFonts w:cs="Arial"/>
          <w:b/>
          <w:sz w:val="22"/>
          <w:szCs w:val="22"/>
        </w:rPr>
      </w:pPr>
      <w:r w:rsidRPr="0065577C">
        <w:rPr>
          <w:rFonts w:cs="Arial"/>
          <w:sz w:val="22"/>
          <w:szCs w:val="22"/>
        </w:rPr>
        <w:t xml:space="preserve">Estudios de riesgos periódicos </w:t>
      </w:r>
    </w:p>
    <w:p w14:paraId="6B9D3DB4" w14:textId="77777777" w:rsidR="0065577C" w:rsidRPr="0065577C" w:rsidRDefault="0065577C" w:rsidP="0065577C">
      <w:pPr>
        <w:numPr>
          <w:ilvl w:val="0"/>
          <w:numId w:val="25"/>
        </w:numPr>
        <w:spacing w:after="120"/>
        <w:rPr>
          <w:rFonts w:cs="Arial"/>
          <w:b/>
          <w:sz w:val="22"/>
          <w:szCs w:val="22"/>
        </w:rPr>
      </w:pPr>
      <w:r w:rsidRPr="0065577C">
        <w:rPr>
          <w:rFonts w:cs="Arial"/>
          <w:sz w:val="22"/>
          <w:szCs w:val="22"/>
        </w:rPr>
        <w:t>Control interno participará en los comités de la entidad</w:t>
      </w:r>
      <w:r w:rsidR="0014539E">
        <w:rPr>
          <w:rFonts w:cs="Arial"/>
          <w:sz w:val="22"/>
          <w:szCs w:val="22"/>
        </w:rPr>
        <w:t>.</w:t>
      </w:r>
    </w:p>
    <w:p w14:paraId="0A551389" w14:textId="77777777" w:rsidR="0065577C" w:rsidRPr="0014539E" w:rsidRDefault="0065577C" w:rsidP="0065577C">
      <w:pPr>
        <w:numPr>
          <w:ilvl w:val="0"/>
          <w:numId w:val="24"/>
        </w:numPr>
        <w:spacing w:after="120"/>
        <w:rPr>
          <w:rFonts w:cs="Arial"/>
          <w:b/>
          <w:sz w:val="22"/>
          <w:szCs w:val="22"/>
        </w:rPr>
      </w:pPr>
      <w:r w:rsidRPr="0065577C">
        <w:rPr>
          <w:rFonts w:cs="Arial"/>
          <w:sz w:val="22"/>
          <w:szCs w:val="22"/>
        </w:rPr>
        <w:t>Realizar informes sobre los hallazgos de las auditorías, las evaluaciones y solicitar a los</w:t>
      </w:r>
      <w:r>
        <w:rPr>
          <w:rFonts w:cs="Arial"/>
          <w:sz w:val="22"/>
          <w:szCs w:val="22"/>
        </w:rPr>
        <w:t xml:space="preserve"> Directores</w:t>
      </w:r>
      <w:r w:rsidRPr="0065577C">
        <w:rPr>
          <w:rFonts w:cs="Arial"/>
          <w:sz w:val="22"/>
          <w:szCs w:val="22"/>
        </w:rPr>
        <w:t xml:space="preserve"> de procesos el plan de mejoramiento</w:t>
      </w:r>
      <w:r w:rsidR="0014539E">
        <w:rPr>
          <w:rFonts w:cs="Arial"/>
          <w:sz w:val="22"/>
          <w:szCs w:val="22"/>
        </w:rPr>
        <w:t>.</w:t>
      </w:r>
    </w:p>
    <w:p w14:paraId="7CDB2D08" w14:textId="77777777" w:rsidR="0014539E" w:rsidRDefault="0014539E" w:rsidP="0014539E">
      <w:pPr>
        <w:numPr>
          <w:ilvl w:val="0"/>
          <w:numId w:val="24"/>
        </w:numPr>
        <w:spacing w:after="120"/>
        <w:rPr>
          <w:rFonts w:cs="Arial"/>
          <w:sz w:val="22"/>
          <w:szCs w:val="22"/>
        </w:rPr>
      </w:pPr>
      <w:r w:rsidRPr="00123B25">
        <w:rPr>
          <w:rFonts w:cs="Arial"/>
          <w:sz w:val="22"/>
          <w:szCs w:val="22"/>
        </w:rPr>
        <w:t>Los riesgos de la entidad deberán tener un seguimiento permanente</w:t>
      </w:r>
      <w:r>
        <w:rPr>
          <w:rFonts w:cs="Arial"/>
          <w:sz w:val="22"/>
          <w:szCs w:val="22"/>
        </w:rPr>
        <w:t>.</w:t>
      </w:r>
    </w:p>
    <w:p w14:paraId="7F5B89EF" w14:textId="77777777" w:rsidR="00C876A3" w:rsidRPr="00B12C05" w:rsidRDefault="00C876A3" w:rsidP="00B12C05">
      <w:pPr>
        <w:numPr>
          <w:ilvl w:val="0"/>
          <w:numId w:val="24"/>
        </w:numPr>
        <w:spacing w:after="120"/>
        <w:jc w:val="both"/>
        <w:rPr>
          <w:rFonts w:cs="Arial"/>
          <w:sz w:val="22"/>
          <w:szCs w:val="22"/>
        </w:rPr>
      </w:pPr>
      <w:r w:rsidRPr="00075EAA">
        <w:rPr>
          <w:rFonts w:cs="Arial"/>
          <w:sz w:val="22"/>
          <w:szCs w:val="22"/>
        </w:rPr>
        <w:t>Para la evaluación independiente del Sistema de Control Interno se consideran las metodologías de propuestas por el DAFP, las auditorías de evaluación independiente y otros mecanismos adicionales que definida la Oficina de Control Interno (OCI).</w:t>
      </w:r>
    </w:p>
    <w:p w14:paraId="75C783BE" w14:textId="77777777" w:rsidR="0014539E" w:rsidRPr="00C876A3" w:rsidRDefault="0014539E" w:rsidP="0014539E">
      <w:pPr>
        <w:numPr>
          <w:ilvl w:val="0"/>
          <w:numId w:val="24"/>
        </w:numPr>
        <w:spacing w:after="120"/>
        <w:rPr>
          <w:rFonts w:cs="Arial"/>
          <w:b/>
          <w:sz w:val="22"/>
          <w:szCs w:val="22"/>
        </w:rPr>
      </w:pPr>
      <w:r w:rsidRPr="00123B25">
        <w:rPr>
          <w:rFonts w:cs="Arial"/>
          <w:sz w:val="22"/>
          <w:szCs w:val="22"/>
        </w:rPr>
        <w:t>Los informes de auditoría tendrá planes de mejoramiento</w:t>
      </w:r>
      <w:r>
        <w:rPr>
          <w:rFonts w:cs="Arial"/>
          <w:sz w:val="22"/>
          <w:szCs w:val="22"/>
        </w:rPr>
        <w:t>.</w:t>
      </w:r>
    </w:p>
    <w:p w14:paraId="0215FBD9" w14:textId="77777777" w:rsidR="00C876A3" w:rsidRDefault="00C876A3" w:rsidP="00C876A3">
      <w:pPr>
        <w:numPr>
          <w:ilvl w:val="0"/>
          <w:numId w:val="24"/>
        </w:numPr>
        <w:spacing w:after="120"/>
        <w:jc w:val="both"/>
        <w:rPr>
          <w:rFonts w:cs="Arial"/>
          <w:sz w:val="22"/>
          <w:szCs w:val="22"/>
        </w:rPr>
      </w:pPr>
      <w:r w:rsidRPr="00075EAA">
        <w:rPr>
          <w:rFonts w:cs="Arial"/>
          <w:sz w:val="22"/>
          <w:szCs w:val="22"/>
        </w:rPr>
        <w:t>Las actividades definidas en este documento buscan contribuir al cumplimiento del objetivo del MIPG: "Desarrollar una cultura organizacional fundamentada en la información, el control y la evaluación, para la toma de decisiones y la mejora continua".</w:t>
      </w:r>
    </w:p>
    <w:p w14:paraId="206B75FF" w14:textId="77777777" w:rsidR="00C876A3" w:rsidRPr="00C876A3" w:rsidRDefault="00C876A3" w:rsidP="00C876A3">
      <w:pPr>
        <w:numPr>
          <w:ilvl w:val="0"/>
          <w:numId w:val="24"/>
        </w:numPr>
        <w:jc w:val="both"/>
        <w:rPr>
          <w:rFonts w:cs="Arial"/>
          <w:sz w:val="10"/>
          <w:szCs w:val="10"/>
        </w:rPr>
      </w:pPr>
      <w:r w:rsidRPr="00075EAA">
        <w:rPr>
          <w:rFonts w:cs="Arial"/>
          <w:sz w:val="22"/>
          <w:szCs w:val="22"/>
        </w:rPr>
        <w:t>La evaluación independiente al Sistema de Control Interno de la Corporación se realiza en el marco del Modelo Estándar de Control Interno y sus cinco componentes:</w:t>
      </w:r>
    </w:p>
    <w:p w14:paraId="559A7A06" w14:textId="77777777" w:rsidR="00C876A3" w:rsidRPr="00C876A3" w:rsidRDefault="00C876A3" w:rsidP="00C876A3">
      <w:pPr>
        <w:ind w:left="360"/>
        <w:rPr>
          <w:rFonts w:cs="Arial"/>
          <w:sz w:val="22"/>
          <w:szCs w:val="22"/>
        </w:rPr>
      </w:pPr>
      <w:r w:rsidRPr="00075EAA">
        <w:rPr>
          <w:rFonts w:cs="Arial"/>
          <w:sz w:val="10"/>
          <w:szCs w:val="10"/>
        </w:rPr>
        <w:br/>
      </w:r>
      <w:r w:rsidRPr="00075EAA">
        <w:rPr>
          <w:rFonts w:cs="Arial"/>
          <w:sz w:val="22"/>
          <w:szCs w:val="22"/>
        </w:rPr>
        <w:t>- Ambiente de Control.</w:t>
      </w:r>
      <w:r w:rsidRPr="00075EAA">
        <w:rPr>
          <w:rFonts w:cs="Arial"/>
          <w:sz w:val="22"/>
          <w:szCs w:val="22"/>
        </w:rPr>
        <w:br/>
        <w:t>- Evaluación del Riesgo.</w:t>
      </w:r>
      <w:r w:rsidRPr="00075EAA">
        <w:rPr>
          <w:rFonts w:cs="Arial"/>
          <w:sz w:val="22"/>
          <w:szCs w:val="22"/>
        </w:rPr>
        <w:br/>
        <w:t>- Actividades de Control.</w:t>
      </w:r>
      <w:r w:rsidRPr="00075EAA">
        <w:rPr>
          <w:rFonts w:cs="Arial"/>
          <w:sz w:val="22"/>
          <w:szCs w:val="22"/>
        </w:rPr>
        <w:br/>
        <w:t>- Información y Comunicación.</w:t>
      </w:r>
      <w:r w:rsidRPr="00075EAA">
        <w:rPr>
          <w:rFonts w:cs="Arial"/>
          <w:sz w:val="22"/>
          <w:szCs w:val="22"/>
        </w:rPr>
        <w:br/>
        <w:t>- Actividades de Monitoreo.</w:t>
      </w:r>
    </w:p>
    <w:p w14:paraId="2248267A" w14:textId="77777777" w:rsidR="0065577C" w:rsidRPr="0065577C" w:rsidRDefault="0065577C" w:rsidP="0065577C">
      <w:pPr>
        <w:spacing w:after="120"/>
        <w:ind w:left="360"/>
        <w:jc w:val="both"/>
        <w:rPr>
          <w:rFonts w:cs="Arial"/>
          <w:b/>
          <w:sz w:val="22"/>
          <w:szCs w:val="22"/>
        </w:rPr>
      </w:pPr>
    </w:p>
    <w:p w14:paraId="44F8D82F" w14:textId="64214918" w:rsidR="00F576AA" w:rsidRPr="00570E35" w:rsidRDefault="00F576AA" w:rsidP="0065577C">
      <w:pPr>
        <w:numPr>
          <w:ilvl w:val="0"/>
          <w:numId w:val="17"/>
        </w:numPr>
        <w:spacing w:after="120"/>
        <w:jc w:val="both"/>
        <w:rPr>
          <w:rFonts w:cs="Arial"/>
          <w:sz w:val="22"/>
          <w:szCs w:val="22"/>
        </w:rPr>
      </w:pPr>
      <w:r w:rsidRPr="0065577C">
        <w:rPr>
          <w:rFonts w:cs="Arial"/>
          <w:b/>
          <w:sz w:val="22"/>
          <w:szCs w:val="22"/>
        </w:rPr>
        <w:t>DESARROLLO DEL DOCUMENTO:</w:t>
      </w:r>
    </w:p>
    <w:p w14:paraId="6BFE0DE2" w14:textId="77777777" w:rsidR="00570E35" w:rsidRPr="00A85525" w:rsidRDefault="00570E35" w:rsidP="00570E35">
      <w:pPr>
        <w:spacing w:after="120"/>
        <w:ind w:left="360"/>
        <w:jc w:val="both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5683"/>
        <w:gridCol w:w="1891"/>
        <w:gridCol w:w="1927"/>
      </w:tblGrid>
      <w:tr w:rsidR="00F576AA" w:rsidRPr="000539D0" w14:paraId="42A09AD3" w14:textId="77777777" w:rsidTr="00DC6997">
        <w:trPr>
          <w:trHeight w:val="190"/>
        </w:trPr>
        <w:tc>
          <w:tcPr>
            <w:tcW w:w="232" w:type="pct"/>
            <w:vAlign w:val="center"/>
          </w:tcPr>
          <w:p w14:paraId="6A2A050D" w14:textId="77777777" w:rsidR="00F576AA" w:rsidRPr="000539D0" w:rsidRDefault="00F576AA" w:rsidP="0001726A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0539D0">
              <w:rPr>
                <w:rFonts w:cs="Arial"/>
                <w:b/>
                <w:sz w:val="22"/>
                <w:szCs w:val="22"/>
              </w:rPr>
              <w:t>N°</w:t>
            </w:r>
          </w:p>
        </w:tc>
        <w:tc>
          <w:tcPr>
            <w:tcW w:w="2852" w:type="pct"/>
            <w:vAlign w:val="center"/>
          </w:tcPr>
          <w:p w14:paraId="6910B383" w14:textId="77777777" w:rsidR="00F576AA" w:rsidRPr="000539D0" w:rsidRDefault="00F576AA" w:rsidP="0001726A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0539D0">
              <w:rPr>
                <w:rFonts w:cs="Arial"/>
                <w:b/>
                <w:sz w:val="22"/>
                <w:szCs w:val="22"/>
              </w:rPr>
              <w:t>DESCRIPCIÓN DE ACTIVIDADES</w:t>
            </w:r>
          </w:p>
        </w:tc>
        <w:tc>
          <w:tcPr>
            <w:tcW w:w="949" w:type="pct"/>
            <w:vAlign w:val="center"/>
          </w:tcPr>
          <w:p w14:paraId="40C3A918" w14:textId="77777777" w:rsidR="00F576AA" w:rsidRPr="000539D0" w:rsidRDefault="00F576AA" w:rsidP="0001726A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0539D0">
              <w:rPr>
                <w:rFonts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967" w:type="pct"/>
            <w:vAlign w:val="center"/>
          </w:tcPr>
          <w:p w14:paraId="2D3AC4E7" w14:textId="77777777" w:rsidR="00F576AA" w:rsidRPr="000539D0" w:rsidRDefault="00F576AA" w:rsidP="0001726A">
            <w:pPr>
              <w:tabs>
                <w:tab w:val="left" w:pos="2144"/>
              </w:tabs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0539D0">
              <w:rPr>
                <w:rFonts w:cs="Arial"/>
                <w:b/>
                <w:sz w:val="22"/>
                <w:szCs w:val="22"/>
              </w:rPr>
              <w:t>REGISTRO</w:t>
            </w:r>
          </w:p>
        </w:tc>
      </w:tr>
      <w:tr w:rsidR="00DC6997" w:rsidRPr="000539D0" w14:paraId="154879B4" w14:textId="77777777" w:rsidTr="00DC6997">
        <w:trPr>
          <w:trHeight w:val="720"/>
        </w:trPr>
        <w:tc>
          <w:tcPr>
            <w:tcW w:w="232" w:type="pct"/>
          </w:tcPr>
          <w:p w14:paraId="26606061" w14:textId="77777777" w:rsidR="00DC6997" w:rsidRPr="00570E35" w:rsidRDefault="00DC6997" w:rsidP="00DC6997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570E35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2" w:type="pct"/>
          </w:tcPr>
          <w:p w14:paraId="5A5E26E7" w14:textId="77777777" w:rsidR="00DC6997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</w:t>
            </w:r>
            <w:r w:rsidRPr="00075EAA">
              <w:rPr>
                <w:rFonts w:cs="Arial"/>
                <w:sz w:val="20"/>
                <w:szCs w:val="20"/>
              </w:rPr>
              <w:t>definen las actividades del Plan de acción del proceso de Evaluación Independiente para la próxima vigencia</w:t>
            </w:r>
            <w:r>
              <w:rPr>
                <w:rFonts w:cs="Arial"/>
                <w:sz w:val="20"/>
                <w:szCs w:val="20"/>
              </w:rPr>
              <w:t xml:space="preserve"> y </w:t>
            </w:r>
            <w:r w:rsidRPr="00075EAA">
              <w:rPr>
                <w:rFonts w:cs="Arial"/>
                <w:sz w:val="20"/>
                <w:szCs w:val="20"/>
              </w:rPr>
              <w:t>se analiza</w:t>
            </w:r>
            <w:r w:rsidRPr="00CE7A6B">
              <w:rPr>
                <w:rFonts w:cs="Arial"/>
                <w:sz w:val="20"/>
                <w:szCs w:val="20"/>
              </w:rPr>
              <w:t>n</w:t>
            </w:r>
            <w:r w:rsidRPr="00075EAA">
              <w:rPr>
                <w:rFonts w:cs="Arial"/>
                <w:sz w:val="20"/>
                <w:szCs w:val="20"/>
              </w:rPr>
              <w:t xml:space="preserve"> y proyectan las actividades de evaluación independiente de la próxima vigencia</w:t>
            </w:r>
            <w:r>
              <w:rPr>
                <w:rFonts w:cs="Arial"/>
                <w:sz w:val="20"/>
                <w:szCs w:val="20"/>
              </w:rPr>
              <w:t>, considerando</w:t>
            </w:r>
          </w:p>
          <w:p w14:paraId="69075890" w14:textId="77777777" w:rsidR="00DC6997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Pr="00075EAA">
              <w:rPr>
                <w:rFonts w:cs="Arial"/>
                <w:sz w:val="20"/>
                <w:szCs w:val="20"/>
              </w:rPr>
              <w:t>Los cinco roles de control interno.</w:t>
            </w:r>
            <w:r w:rsidRPr="00075EAA">
              <w:rPr>
                <w:rFonts w:cs="Arial"/>
                <w:sz w:val="20"/>
                <w:szCs w:val="20"/>
              </w:rPr>
              <w:br/>
              <w:t>- Resultado de la autoevaluación de Control interno (MIPG).</w:t>
            </w:r>
            <w:r w:rsidRPr="00075EAA">
              <w:rPr>
                <w:rFonts w:cs="Arial"/>
                <w:sz w:val="20"/>
                <w:szCs w:val="20"/>
              </w:rPr>
              <w:br/>
              <w:t>- El marco legal aplicable.</w:t>
            </w:r>
            <w:r w:rsidRPr="00075EAA">
              <w:rPr>
                <w:rFonts w:cs="Arial"/>
                <w:sz w:val="20"/>
                <w:szCs w:val="20"/>
              </w:rPr>
              <w:br/>
              <w:t>- El análisis de la gestión del riesgo.</w:t>
            </w:r>
            <w:r w:rsidRPr="00075EAA">
              <w:rPr>
                <w:rFonts w:cs="Arial"/>
                <w:sz w:val="20"/>
                <w:szCs w:val="20"/>
              </w:rPr>
              <w:br/>
              <w:t>- Los resultados derivados de la implementación del Plan Anual de Auditorías.</w:t>
            </w:r>
            <w:r w:rsidRPr="00075EAA">
              <w:rPr>
                <w:rFonts w:cs="Arial"/>
                <w:sz w:val="20"/>
                <w:szCs w:val="20"/>
              </w:rPr>
              <w:br/>
              <w:t>- Las directrices de la Alta Dirección.</w:t>
            </w:r>
            <w:r w:rsidRPr="00075EAA">
              <w:rPr>
                <w:rFonts w:cs="Arial"/>
                <w:sz w:val="20"/>
                <w:szCs w:val="20"/>
              </w:rPr>
              <w:br/>
              <w:t>- Los informes y seguimientos de ley a presentar.</w:t>
            </w:r>
          </w:p>
        </w:tc>
        <w:tc>
          <w:tcPr>
            <w:tcW w:w="949" w:type="pct"/>
          </w:tcPr>
          <w:p w14:paraId="59DD74B0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Jefe de Control Interno</w:t>
            </w:r>
          </w:p>
          <w:p w14:paraId="1FD25EC1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6489CB48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DC6997" w:rsidRPr="000539D0" w14:paraId="459A173D" w14:textId="77777777" w:rsidTr="00DC6997">
        <w:trPr>
          <w:trHeight w:val="720"/>
        </w:trPr>
        <w:tc>
          <w:tcPr>
            <w:tcW w:w="232" w:type="pct"/>
          </w:tcPr>
          <w:p w14:paraId="18719B20" w14:textId="77777777" w:rsidR="00DC6997" w:rsidRPr="00570E35" w:rsidRDefault="00B12C05" w:rsidP="00DC6997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570E35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52" w:type="pct"/>
          </w:tcPr>
          <w:p w14:paraId="5958DEF5" w14:textId="77777777" w:rsidR="00DC6997" w:rsidRPr="00A85525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Proponer mejoras a</w:t>
            </w:r>
            <w:r w:rsidRPr="00A85525">
              <w:rPr>
                <w:rFonts w:cs="Arial"/>
                <w:sz w:val="20"/>
                <w:szCs w:val="20"/>
              </w:rPr>
              <w:t xml:space="preserve">l Sistema de Control Interno. </w:t>
            </w:r>
          </w:p>
          <w:p w14:paraId="416E5005" w14:textId="77777777" w:rsidR="00DC6997" w:rsidRPr="00A85525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 xml:space="preserve">Se </w:t>
            </w:r>
            <w:r>
              <w:rPr>
                <w:rFonts w:cs="Arial"/>
                <w:sz w:val="20"/>
                <w:szCs w:val="20"/>
              </w:rPr>
              <w:t xml:space="preserve">proponen mejoras al </w:t>
            </w:r>
            <w:r w:rsidRPr="00A85525">
              <w:rPr>
                <w:rFonts w:cs="Arial"/>
                <w:sz w:val="20"/>
                <w:szCs w:val="20"/>
              </w:rPr>
              <w:t>sistema de Control Interno, elaborando informes</w:t>
            </w:r>
            <w:r>
              <w:rPr>
                <w:rFonts w:cs="Arial"/>
                <w:sz w:val="20"/>
                <w:szCs w:val="20"/>
              </w:rPr>
              <w:t xml:space="preserve"> por excepción</w:t>
            </w:r>
            <w:r w:rsidRPr="00A85525">
              <w:rPr>
                <w:rFonts w:cs="Arial"/>
                <w:sz w:val="20"/>
                <w:szCs w:val="20"/>
              </w:rPr>
              <w:t xml:space="preserve"> dirigidos a cada</w:t>
            </w:r>
            <w:r>
              <w:rPr>
                <w:rFonts w:cs="Arial"/>
                <w:sz w:val="20"/>
                <w:szCs w:val="20"/>
              </w:rPr>
              <w:t xml:space="preserve"> uno de los responsables de proceso</w:t>
            </w:r>
            <w:r w:rsidRPr="00A85525">
              <w:rPr>
                <w:rFonts w:cs="Arial"/>
                <w:sz w:val="20"/>
                <w:szCs w:val="20"/>
              </w:rPr>
              <w:t>, donde se</w:t>
            </w:r>
            <w:r>
              <w:rPr>
                <w:rFonts w:cs="Arial"/>
                <w:sz w:val="20"/>
                <w:szCs w:val="20"/>
              </w:rPr>
              <w:t xml:space="preserve"> presenten las recomendaciones a las deficiencias de control interno. También se presentan mejoras al sistema como resultados de las auditorías y las actualizaciones del mapa de riesgos.</w:t>
            </w:r>
          </w:p>
        </w:tc>
        <w:tc>
          <w:tcPr>
            <w:tcW w:w="949" w:type="pct"/>
          </w:tcPr>
          <w:p w14:paraId="4000A2B0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Directores de Proceso</w:t>
            </w:r>
          </w:p>
          <w:p w14:paraId="736E0FBA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Jefe de Control Interno</w:t>
            </w:r>
          </w:p>
          <w:p w14:paraId="605E51F2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1D7AA907" w14:textId="77777777" w:rsidR="00DC6997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FT-EC-EV-04</w:t>
            </w:r>
            <w:r w:rsidRPr="00A85525">
              <w:rPr>
                <w:rFonts w:cs="Arial"/>
                <w:sz w:val="20"/>
                <w:szCs w:val="20"/>
                <w:lang w:val="es-ES"/>
              </w:rPr>
              <w:t xml:space="preserve"> – </w:t>
            </w:r>
            <w:r w:rsidRPr="00A85525">
              <w:rPr>
                <w:rFonts w:cs="Arial"/>
                <w:sz w:val="20"/>
                <w:szCs w:val="20"/>
              </w:rPr>
              <w:t>Informe de auditoría</w:t>
            </w:r>
          </w:p>
          <w:p w14:paraId="05B32B8B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FT-EC-EV-06</w:t>
            </w:r>
            <w:r w:rsidRPr="00A85525">
              <w:rPr>
                <w:rFonts w:cs="Arial"/>
                <w:sz w:val="20"/>
                <w:szCs w:val="20"/>
                <w:lang w:val="es-ES"/>
              </w:rPr>
              <w:t xml:space="preserve"> - </w:t>
            </w:r>
            <w:r w:rsidRPr="00A85525">
              <w:rPr>
                <w:rFonts w:cs="Arial"/>
                <w:sz w:val="20"/>
                <w:szCs w:val="20"/>
              </w:rPr>
              <w:t>Mapa de riesgo</w:t>
            </w:r>
          </w:p>
        </w:tc>
      </w:tr>
      <w:tr w:rsidR="00DC6997" w:rsidRPr="000539D0" w14:paraId="13245268" w14:textId="77777777" w:rsidTr="00DC6997">
        <w:trPr>
          <w:trHeight w:val="720"/>
        </w:trPr>
        <w:tc>
          <w:tcPr>
            <w:tcW w:w="232" w:type="pct"/>
          </w:tcPr>
          <w:p w14:paraId="437A4B4A" w14:textId="77777777" w:rsidR="00DC6997" w:rsidRPr="00570E35" w:rsidRDefault="00DC6997" w:rsidP="00DC6997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570E35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2" w:type="pct"/>
          </w:tcPr>
          <w:p w14:paraId="45A71E57" w14:textId="77777777" w:rsidR="00DC6997" w:rsidRPr="00A85525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 xml:space="preserve">Fomentar la cultura del autocontrol. </w:t>
            </w:r>
          </w:p>
          <w:p w14:paraId="3743BBE2" w14:textId="77777777" w:rsidR="00DC6997" w:rsidRPr="00A85525" w:rsidRDefault="00DC6997" w:rsidP="00DC6997">
            <w:pPr>
              <w:spacing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Se desarrolla  un proceso de sensibilización,  mediante el cual,  se realizan divers</w:t>
            </w:r>
            <w:r w:rsidR="00B12C05">
              <w:rPr>
                <w:rFonts w:cs="Arial"/>
                <w:sz w:val="20"/>
                <w:szCs w:val="20"/>
              </w:rPr>
              <w:t xml:space="preserve">as actividades </w:t>
            </w:r>
            <w:r w:rsidRPr="00A85525">
              <w:rPr>
                <w:rFonts w:cs="Arial"/>
                <w:sz w:val="20"/>
                <w:szCs w:val="20"/>
              </w:rPr>
              <w:t xml:space="preserve">con el personal para comunicarle al empleado la importancia de adoptar la cultura del control y del autocontrol como sistema de trabajo. </w:t>
            </w:r>
          </w:p>
        </w:tc>
        <w:tc>
          <w:tcPr>
            <w:tcW w:w="949" w:type="pct"/>
          </w:tcPr>
          <w:p w14:paraId="3C8BA37F" w14:textId="77777777" w:rsidR="00DC6997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Directores de Proceso</w:t>
            </w:r>
          </w:p>
          <w:p w14:paraId="540C032C" w14:textId="77777777" w:rsidR="00DC6997" w:rsidRPr="00E30617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E30617">
              <w:rPr>
                <w:rFonts w:cs="Arial"/>
                <w:sz w:val="20"/>
                <w:szCs w:val="20"/>
              </w:rPr>
              <w:t>Jefe de control Interno</w:t>
            </w:r>
          </w:p>
          <w:p w14:paraId="6BE28620" w14:textId="77777777" w:rsidR="00DC6997" w:rsidRPr="00E1439A" w:rsidRDefault="00DC6997" w:rsidP="00DC6997">
            <w:pPr>
              <w:tabs>
                <w:tab w:val="left" w:pos="1080"/>
                <w:tab w:val="left" w:pos="2040"/>
                <w:tab w:val="left" w:pos="2760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E30617">
              <w:rPr>
                <w:rFonts w:cs="Arial"/>
                <w:sz w:val="20"/>
                <w:szCs w:val="20"/>
                <w:lang w:val="pt-BR"/>
              </w:rPr>
              <w:t>Coordinador SIG</w:t>
            </w:r>
          </w:p>
        </w:tc>
        <w:tc>
          <w:tcPr>
            <w:tcW w:w="967" w:type="pct"/>
          </w:tcPr>
          <w:p w14:paraId="6C405CFA" w14:textId="77777777" w:rsidR="00DC6997" w:rsidRDefault="00DC6997" w:rsidP="00DC6997">
            <w:pPr>
              <w:spacing w:after="120"/>
              <w:rPr>
                <w:rFonts w:cs="Arial"/>
                <w:sz w:val="20"/>
                <w:szCs w:val="20"/>
                <w:lang w:val="es-ES"/>
              </w:rPr>
            </w:pPr>
            <w:r w:rsidRPr="00A85525">
              <w:rPr>
                <w:rFonts w:cs="Arial"/>
                <w:sz w:val="20"/>
                <w:szCs w:val="20"/>
              </w:rPr>
              <w:t>FT-GH-TH-12</w:t>
            </w:r>
            <w:r w:rsidRPr="00A85525">
              <w:rPr>
                <w:rFonts w:cs="Arial"/>
                <w:sz w:val="20"/>
                <w:szCs w:val="20"/>
                <w:lang w:val="es-ES"/>
              </w:rPr>
              <w:t xml:space="preserve"> – Listado de asistencia</w:t>
            </w:r>
          </w:p>
          <w:p w14:paraId="7C3BDDA0" w14:textId="77777777" w:rsidR="00B12C05" w:rsidRDefault="00B12C05" w:rsidP="00DC6997">
            <w:pPr>
              <w:spacing w:after="120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Carteleras </w:t>
            </w:r>
          </w:p>
          <w:p w14:paraId="1FB2383D" w14:textId="047786A9" w:rsidR="00B12C05" w:rsidRPr="00A85525" w:rsidRDefault="00B12C05" w:rsidP="00DC6997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Correos </w:t>
            </w:r>
            <w:r w:rsidR="00570E35">
              <w:rPr>
                <w:rFonts w:cs="Arial"/>
                <w:sz w:val="20"/>
                <w:szCs w:val="20"/>
                <w:lang w:val="es-ES"/>
              </w:rPr>
              <w:t>electrónicos</w:t>
            </w:r>
          </w:p>
        </w:tc>
      </w:tr>
      <w:tr w:rsidR="00DC6997" w:rsidRPr="000539D0" w14:paraId="0DCABC04" w14:textId="77777777" w:rsidTr="00DC6997">
        <w:trPr>
          <w:trHeight w:val="720"/>
        </w:trPr>
        <w:tc>
          <w:tcPr>
            <w:tcW w:w="232" w:type="pct"/>
          </w:tcPr>
          <w:p w14:paraId="737A15E0" w14:textId="77777777" w:rsidR="00DC6997" w:rsidRPr="00570E35" w:rsidRDefault="00DC6997" w:rsidP="00DC6997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570E35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52" w:type="pct"/>
          </w:tcPr>
          <w:p w14:paraId="2DA63820" w14:textId="77777777" w:rsidR="00DC6997" w:rsidRPr="00A85525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Participar en el diseño de los mapas de riesgo.</w:t>
            </w:r>
          </w:p>
          <w:p w14:paraId="5CC3DFF1" w14:textId="77777777" w:rsidR="00DC6997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Participar con el </w:t>
            </w:r>
            <w:r w:rsidRPr="00A85525">
              <w:rPr>
                <w:rFonts w:cs="Arial"/>
                <w:sz w:val="20"/>
                <w:szCs w:val="20"/>
              </w:rPr>
              <w:t>personal del nivel estratégico, administrativo y operativo, en  la elaboración de los mapas de riesgo que permitan la definición y categorización de los riesgos  de cada proceso, la evaluación de los controles necesarios y las recomendaciones pertinentes.</w:t>
            </w:r>
          </w:p>
          <w:p w14:paraId="617302DB" w14:textId="77777777" w:rsidR="00DC6997" w:rsidRPr="00BA7674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C63F6">
              <w:rPr>
                <w:rFonts w:cs="Arial"/>
                <w:sz w:val="20"/>
                <w:szCs w:val="20"/>
              </w:rPr>
              <w:t>Adicionalmente, los Directos de procesos deben garantizar que los procesos y matriz de riesgos del área se encuentran debidamente documentados y están actualizados.</w:t>
            </w:r>
          </w:p>
        </w:tc>
        <w:tc>
          <w:tcPr>
            <w:tcW w:w="949" w:type="pct"/>
          </w:tcPr>
          <w:p w14:paraId="14417164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Directores de Proceso</w:t>
            </w:r>
          </w:p>
          <w:p w14:paraId="2DA7B709" w14:textId="77777777" w:rsidR="00DC6997" w:rsidRPr="00723504" w:rsidRDefault="00DC6997" w:rsidP="00DC6997">
            <w:pPr>
              <w:tabs>
                <w:tab w:val="left" w:pos="1080"/>
                <w:tab w:val="left" w:pos="2040"/>
                <w:tab w:val="left" w:pos="2760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  <w:lang w:val="pt-BR"/>
              </w:rPr>
            </w:pPr>
            <w:r w:rsidRPr="00E30617">
              <w:rPr>
                <w:rFonts w:cs="Arial"/>
                <w:sz w:val="20"/>
                <w:szCs w:val="20"/>
                <w:lang w:val="pt-BR"/>
              </w:rPr>
              <w:t>Coordinador SIG</w:t>
            </w:r>
          </w:p>
          <w:p w14:paraId="1625A678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967" w:type="pct"/>
          </w:tcPr>
          <w:p w14:paraId="3D700709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FT-EC-EV-06</w:t>
            </w:r>
            <w:r w:rsidRPr="00A85525">
              <w:rPr>
                <w:rFonts w:cs="Arial"/>
                <w:sz w:val="20"/>
                <w:szCs w:val="20"/>
                <w:lang w:val="es-ES"/>
              </w:rPr>
              <w:t xml:space="preserve"> - </w:t>
            </w:r>
            <w:r w:rsidRPr="00A85525">
              <w:rPr>
                <w:rFonts w:cs="Arial"/>
                <w:sz w:val="20"/>
                <w:szCs w:val="20"/>
              </w:rPr>
              <w:t>Mapa de riesgo</w:t>
            </w:r>
          </w:p>
        </w:tc>
      </w:tr>
      <w:tr w:rsidR="00DC6997" w:rsidRPr="000539D0" w14:paraId="7C89B190" w14:textId="77777777" w:rsidTr="00DC6997">
        <w:trPr>
          <w:trHeight w:val="720"/>
        </w:trPr>
        <w:tc>
          <w:tcPr>
            <w:tcW w:w="232" w:type="pct"/>
          </w:tcPr>
          <w:p w14:paraId="359B8D77" w14:textId="77777777" w:rsidR="00DC6997" w:rsidRPr="00570E35" w:rsidRDefault="00DC6997" w:rsidP="00DC6997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570E35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2" w:type="pct"/>
          </w:tcPr>
          <w:p w14:paraId="2B8EE7EC" w14:textId="77777777" w:rsidR="00DC6997" w:rsidRPr="00A85525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 xml:space="preserve">Participar en Comités. </w:t>
            </w:r>
          </w:p>
          <w:p w14:paraId="24640C79" w14:textId="77777777" w:rsidR="00DC6997" w:rsidRPr="00A85525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Participar activamente en los diferentes Comités Operativos que orientan las actuaciones pertinentes para el logro de los objetivos del Canal</w:t>
            </w:r>
          </w:p>
          <w:p w14:paraId="2D3F393A" w14:textId="77777777" w:rsidR="00DC6997" w:rsidRPr="00E1439A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49" w:type="pct"/>
          </w:tcPr>
          <w:p w14:paraId="6D83338B" w14:textId="77777777" w:rsidR="00DC6997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Jefe de Control Interno</w:t>
            </w:r>
          </w:p>
          <w:p w14:paraId="5D5D54A7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Directores de Proceso</w:t>
            </w:r>
          </w:p>
        </w:tc>
        <w:tc>
          <w:tcPr>
            <w:tcW w:w="967" w:type="pct"/>
          </w:tcPr>
          <w:p w14:paraId="60857FEE" w14:textId="0FCAF382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FG-AF-AC-02</w:t>
            </w:r>
            <w:r w:rsidR="00081BA0">
              <w:rPr>
                <w:rFonts w:cs="Arial"/>
                <w:sz w:val="20"/>
                <w:szCs w:val="20"/>
              </w:rPr>
              <w:t xml:space="preserve"> </w:t>
            </w:r>
            <w:r w:rsidRPr="00A85525">
              <w:rPr>
                <w:rFonts w:cs="Arial"/>
                <w:sz w:val="20"/>
                <w:szCs w:val="20"/>
              </w:rPr>
              <w:t>Acta de reunión</w:t>
            </w:r>
          </w:p>
        </w:tc>
      </w:tr>
      <w:tr w:rsidR="00DC6997" w:rsidRPr="000539D0" w14:paraId="58EF9B4B" w14:textId="77777777" w:rsidTr="00DC6997">
        <w:trPr>
          <w:trHeight w:val="720"/>
        </w:trPr>
        <w:tc>
          <w:tcPr>
            <w:tcW w:w="232" w:type="pct"/>
          </w:tcPr>
          <w:p w14:paraId="496DD4ED" w14:textId="77777777" w:rsidR="00DC6997" w:rsidRPr="00570E35" w:rsidRDefault="00DC6997" w:rsidP="00DC6997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570E35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52" w:type="pct"/>
          </w:tcPr>
          <w:p w14:paraId="158E6C6E" w14:textId="77777777" w:rsidR="00DC6997" w:rsidRPr="00A85525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Participar en reuniones con el Comité de Enlace de Control Interno.</w:t>
            </w:r>
          </w:p>
          <w:p w14:paraId="13E273C2" w14:textId="77777777" w:rsidR="00DC6997" w:rsidRPr="00A85525" w:rsidRDefault="00DC6997" w:rsidP="00DC6997">
            <w:pPr>
              <w:spacing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 xml:space="preserve">Participar en las diferentes reuniones del Comité de Enlace de Control Interno, las cuales están presididas por el Secretario </w:t>
            </w:r>
            <w:r w:rsidRPr="00A85525">
              <w:rPr>
                <w:rFonts w:cs="Arial"/>
                <w:sz w:val="20"/>
                <w:szCs w:val="20"/>
              </w:rPr>
              <w:lastRenderedPageBreak/>
              <w:t>de Evaluación y Control del Municipio y por los diferentes Jefes de Control Interno de las entidades del orden descentralizado.</w:t>
            </w:r>
          </w:p>
        </w:tc>
        <w:tc>
          <w:tcPr>
            <w:tcW w:w="949" w:type="pct"/>
          </w:tcPr>
          <w:p w14:paraId="717F8B00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lastRenderedPageBreak/>
              <w:t>Jefe de Control Interno</w:t>
            </w:r>
          </w:p>
        </w:tc>
        <w:tc>
          <w:tcPr>
            <w:tcW w:w="967" w:type="pct"/>
          </w:tcPr>
          <w:p w14:paraId="450481AD" w14:textId="77777777" w:rsidR="00DC6997" w:rsidRPr="00A85525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A85525">
              <w:rPr>
                <w:rFonts w:cs="Arial"/>
                <w:sz w:val="20"/>
                <w:szCs w:val="20"/>
              </w:rPr>
              <w:t>N.A.</w:t>
            </w:r>
          </w:p>
        </w:tc>
      </w:tr>
      <w:tr w:rsidR="00DC6997" w:rsidRPr="000539D0" w14:paraId="04E14357" w14:textId="77777777" w:rsidTr="00DC6997">
        <w:trPr>
          <w:trHeight w:val="720"/>
        </w:trPr>
        <w:tc>
          <w:tcPr>
            <w:tcW w:w="232" w:type="pct"/>
          </w:tcPr>
          <w:p w14:paraId="7B257717" w14:textId="77777777" w:rsidR="00DC6997" w:rsidRPr="00570E35" w:rsidRDefault="00BC02F4" w:rsidP="00DC6997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570E35">
              <w:rPr>
                <w:rFonts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852" w:type="pct"/>
          </w:tcPr>
          <w:p w14:paraId="6756AE4E" w14:textId="77777777" w:rsidR="00DC6997" w:rsidRPr="003F3B4F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 xml:space="preserve">Periódicamente y bajo los parámetros establecidos en los planes de acción, se realiza un seguimiento permanente al cumplimiento de los objetivos. </w:t>
            </w:r>
          </w:p>
        </w:tc>
        <w:tc>
          <w:tcPr>
            <w:tcW w:w="949" w:type="pct"/>
          </w:tcPr>
          <w:p w14:paraId="0369D768" w14:textId="77777777" w:rsidR="00DC6997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>Jefe de Control Interno</w:t>
            </w:r>
          </w:p>
          <w:p w14:paraId="0E7967EF" w14:textId="77777777" w:rsidR="00DC6997" w:rsidRPr="00AC63F6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Asesor de Planeación</w:t>
            </w:r>
          </w:p>
        </w:tc>
        <w:tc>
          <w:tcPr>
            <w:tcW w:w="967" w:type="pct"/>
          </w:tcPr>
          <w:p w14:paraId="6294E34F" w14:textId="77777777" w:rsidR="00DC6997" w:rsidRPr="003F3B4F" w:rsidRDefault="00DC6997" w:rsidP="00DC6997">
            <w:pPr>
              <w:spacing w:after="120"/>
              <w:rPr>
                <w:rFonts w:cs="Arial"/>
                <w:sz w:val="20"/>
                <w:szCs w:val="20"/>
                <w:lang w:val="es-ES"/>
              </w:rPr>
            </w:pPr>
            <w:r w:rsidRPr="003F3B4F">
              <w:rPr>
                <w:rFonts w:cs="Arial"/>
                <w:sz w:val="20"/>
                <w:szCs w:val="20"/>
              </w:rPr>
              <w:t>FT-PE-GE-02</w:t>
            </w:r>
            <w:r w:rsidRPr="003F3B4F">
              <w:rPr>
                <w:rFonts w:cs="Arial"/>
                <w:sz w:val="20"/>
                <w:szCs w:val="20"/>
                <w:lang w:val="es-ES"/>
              </w:rPr>
              <w:t xml:space="preserve"> – Elaboración y seguimiento del plan de acció</w:t>
            </w:r>
            <w:r>
              <w:rPr>
                <w:rFonts w:cs="Arial"/>
                <w:sz w:val="20"/>
                <w:szCs w:val="20"/>
                <w:lang w:val="es-ES"/>
              </w:rPr>
              <w:t>n</w:t>
            </w:r>
          </w:p>
        </w:tc>
      </w:tr>
      <w:tr w:rsidR="00DC6997" w:rsidRPr="000539D0" w14:paraId="77B47E19" w14:textId="77777777" w:rsidTr="00DC6997">
        <w:trPr>
          <w:trHeight w:val="720"/>
        </w:trPr>
        <w:tc>
          <w:tcPr>
            <w:tcW w:w="232" w:type="pct"/>
          </w:tcPr>
          <w:p w14:paraId="50E11AD3" w14:textId="77777777" w:rsidR="00DC6997" w:rsidRPr="00570E35" w:rsidRDefault="00BC02F4" w:rsidP="00DC6997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570E35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52" w:type="pct"/>
          </w:tcPr>
          <w:p w14:paraId="66CEEFA9" w14:textId="77777777" w:rsidR="00DC6997" w:rsidRPr="003F3B4F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Practicar evaluaciones</w:t>
            </w:r>
            <w:r w:rsidRPr="003F3B4F">
              <w:rPr>
                <w:rFonts w:cs="Arial"/>
                <w:sz w:val="20"/>
                <w:szCs w:val="20"/>
              </w:rPr>
              <w:t>.</w:t>
            </w:r>
          </w:p>
          <w:p w14:paraId="2BCD0C86" w14:textId="77777777" w:rsidR="00DC6997" w:rsidRPr="003F3B4F" w:rsidRDefault="00DC6997" w:rsidP="00DC6997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>Verificación del cumplimiento de parámetros del Sistema de Control Interno de Telemedellín mediante la aplicación  de auditoría</w:t>
            </w:r>
            <w:r>
              <w:rPr>
                <w:rFonts w:cs="Arial"/>
                <w:sz w:val="20"/>
                <w:szCs w:val="20"/>
              </w:rPr>
              <w:t>s</w:t>
            </w:r>
            <w:r w:rsidRPr="003F3B4F">
              <w:rPr>
                <w:rFonts w:cs="Arial"/>
                <w:sz w:val="20"/>
                <w:szCs w:val="20"/>
              </w:rPr>
              <w:t xml:space="preserve"> que tienen como finalidad  la evaluación del estado actual de cada una de las actividades. </w:t>
            </w:r>
          </w:p>
        </w:tc>
        <w:tc>
          <w:tcPr>
            <w:tcW w:w="949" w:type="pct"/>
          </w:tcPr>
          <w:p w14:paraId="74663A42" w14:textId="77777777" w:rsidR="00DC6997" w:rsidRPr="003F3B4F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>Jefe de Control Interno</w:t>
            </w:r>
          </w:p>
        </w:tc>
        <w:tc>
          <w:tcPr>
            <w:tcW w:w="967" w:type="pct"/>
          </w:tcPr>
          <w:p w14:paraId="10D5DE0E" w14:textId="77777777" w:rsidR="00DC6997" w:rsidRPr="003F3B4F" w:rsidRDefault="00DC6997" w:rsidP="00DC6997">
            <w:pPr>
              <w:spacing w:after="120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>FT-EC-EV-04</w:t>
            </w:r>
            <w:r w:rsidRPr="003F3B4F">
              <w:rPr>
                <w:rFonts w:cs="Arial"/>
                <w:sz w:val="20"/>
                <w:szCs w:val="20"/>
                <w:lang w:val="es-ES"/>
              </w:rPr>
              <w:t xml:space="preserve"> – Informe de auditoría</w:t>
            </w:r>
          </w:p>
        </w:tc>
      </w:tr>
      <w:tr w:rsidR="00B12C05" w:rsidRPr="000539D0" w14:paraId="3FA8C634" w14:textId="77777777" w:rsidTr="00DC6997">
        <w:trPr>
          <w:trHeight w:val="720"/>
        </w:trPr>
        <w:tc>
          <w:tcPr>
            <w:tcW w:w="232" w:type="pct"/>
          </w:tcPr>
          <w:p w14:paraId="62567C11" w14:textId="77777777" w:rsidR="00B12C05" w:rsidRPr="00570E35" w:rsidRDefault="00BC02F4" w:rsidP="00B12C05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570E35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52" w:type="pct"/>
          </w:tcPr>
          <w:p w14:paraId="2AE2831A" w14:textId="77777777" w:rsidR="00B12C05" w:rsidRPr="003F3B4F" w:rsidRDefault="00B12C05" w:rsidP="00B12C05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 xml:space="preserve">Realizar seguimiento a los Planes de Mejoramiento. </w:t>
            </w:r>
          </w:p>
          <w:p w14:paraId="4ECC37A3" w14:textId="77777777" w:rsidR="00B12C05" w:rsidRPr="003F3B4F" w:rsidRDefault="00B12C05" w:rsidP="00B12C05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>De conformidad con los planes de mejoramiento que se desprenden de las visitas de la Contraloría</w:t>
            </w:r>
            <w:r>
              <w:rPr>
                <w:rFonts w:cs="Arial"/>
                <w:sz w:val="20"/>
                <w:szCs w:val="20"/>
              </w:rPr>
              <w:t xml:space="preserve"> y las visitas de control interno</w:t>
            </w:r>
            <w:r w:rsidRPr="003F3B4F">
              <w:rPr>
                <w:rFonts w:cs="Arial"/>
                <w:sz w:val="20"/>
                <w:szCs w:val="20"/>
              </w:rPr>
              <w:t>, se realiza un seguimiento permanente orientado a la verificación del cumplimiento de los planes propuestos con el Director de cada proceso.</w:t>
            </w:r>
          </w:p>
        </w:tc>
        <w:tc>
          <w:tcPr>
            <w:tcW w:w="949" w:type="pct"/>
          </w:tcPr>
          <w:p w14:paraId="0B7F5517" w14:textId="77777777" w:rsidR="00B12C05" w:rsidRDefault="00B12C05" w:rsidP="00B12C05">
            <w:pPr>
              <w:spacing w:after="120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>Jefe de Control Interno</w:t>
            </w:r>
          </w:p>
          <w:p w14:paraId="2EF003E9" w14:textId="77777777" w:rsidR="00B12C05" w:rsidRPr="00C22378" w:rsidRDefault="00B12C05" w:rsidP="00B12C05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967" w:type="pct"/>
          </w:tcPr>
          <w:p w14:paraId="48D2D018" w14:textId="77777777" w:rsidR="00B12C05" w:rsidRPr="003F3B4F" w:rsidRDefault="00B12C05" w:rsidP="00B12C05">
            <w:pPr>
              <w:spacing w:after="120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>FT-AF-CA-02</w:t>
            </w:r>
            <w:r w:rsidRPr="003F3B4F">
              <w:rPr>
                <w:rFonts w:cs="Arial"/>
                <w:sz w:val="20"/>
                <w:szCs w:val="20"/>
                <w:lang w:val="es-ES"/>
              </w:rPr>
              <w:t xml:space="preserve"> - </w:t>
            </w:r>
            <w:r w:rsidRPr="003F3B4F">
              <w:rPr>
                <w:rFonts w:cs="Arial"/>
                <w:sz w:val="20"/>
                <w:szCs w:val="20"/>
              </w:rPr>
              <w:t>Planes de mejoramiento</w:t>
            </w:r>
          </w:p>
          <w:p w14:paraId="5A860960" w14:textId="77777777" w:rsidR="00B12C05" w:rsidRPr="003F3B4F" w:rsidRDefault="00B12C05" w:rsidP="00B12C05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63228DDA" w14:textId="77777777" w:rsidR="00B12C05" w:rsidRPr="003F3B4F" w:rsidRDefault="00B12C05" w:rsidP="00B12C05">
            <w:pPr>
              <w:spacing w:after="120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BC02F4" w:rsidRPr="000539D0" w14:paraId="5CA440FB" w14:textId="77777777" w:rsidTr="00DC6997">
        <w:trPr>
          <w:trHeight w:val="720"/>
        </w:trPr>
        <w:tc>
          <w:tcPr>
            <w:tcW w:w="232" w:type="pct"/>
          </w:tcPr>
          <w:p w14:paraId="48C882D8" w14:textId="77777777" w:rsidR="00BC02F4" w:rsidRPr="00570E35" w:rsidRDefault="00BC02F4" w:rsidP="00BC02F4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570E35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52" w:type="pct"/>
          </w:tcPr>
          <w:p w14:paraId="4F507D06" w14:textId="77777777" w:rsidR="00BC02F4" w:rsidRPr="003F3B4F" w:rsidRDefault="00BC02F4" w:rsidP="00BC02F4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 xml:space="preserve">Realizar seguimiento a los Planes de Mejoramiento. </w:t>
            </w:r>
          </w:p>
          <w:p w14:paraId="5DD91FE0" w14:textId="77777777" w:rsidR="00BC02F4" w:rsidRPr="003F3B4F" w:rsidRDefault="00BC02F4" w:rsidP="00BC02F4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>De conformidad con los planes de mejoramiento que se desprenden de las visitas de la Contraloría</w:t>
            </w:r>
            <w:r>
              <w:rPr>
                <w:rFonts w:cs="Arial"/>
                <w:sz w:val="20"/>
                <w:szCs w:val="20"/>
              </w:rPr>
              <w:t xml:space="preserve"> y las visitas de control interno</w:t>
            </w:r>
            <w:r w:rsidRPr="003F3B4F">
              <w:rPr>
                <w:rFonts w:cs="Arial"/>
                <w:sz w:val="20"/>
                <w:szCs w:val="20"/>
              </w:rPr>
              <w:t>, se realiza un seguimiento permanente orientado a la verificación del cumplimiento de los planes propuestos con el Director de cada proceso.</w:t>
            </w:r>
          </w:p>
        </w:tc>
        <w:tc>
          <w:tcPr>
            <w:tcW w:w="949" w:type="pct"/>
          </w:tcPr>
          <w:p w14:paraId="6DA8C643" w14:textId="77777777" w:rsidR="00BC02F4" w:rsidRDefault="00BC02F4" w:rsidP="00BC02F4">
            <w:pPr>
              <w:spacing w:after="120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>Jefe de Control Interno</w:t>
            </w:r>
          </w:p>
          <w:p w14:paraId="7ECAFC23" w14:textId="77777777" w:rsidR="00BC02F4" w:rsidRPr="00C22378" w:rsidRDefault="00BC02F4" w:rsidP="00BC02F4">
            <w:pPr>
              <w:spacing w:after="120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967" w:type="pct"/>
          </w:tcPr>
          <w:p w14:paraId="4C37B809" w14:textId="77777777" w:rsidR="00BC02F4" w:rsidRPr="003F3B4F" w:rsidRDefault="00BC02F4" w:rsidP="00BC02F4">
            <w:pPr>
              <w:spacing w:after="120"/>
              <w:rPr>
                <w:rFonts w:cs="Arial"/>
                <w:sz w:val="20"/>
                <w:szCs w:val="20"/>
              </w:rPr>
            </w:pPr>
            <w:r w:rsidRPr="003F3B4F">
              <w:rPr>
                <w:rFonts w:cs="Arial"/>
                <w:sz w:val="20"/>
                <w:szCs w:val="20"/>
              </w:rPr>
              <w:t>FT-AF-CA-02</w:t>
            </w:r>
            <w:r w:rsidRPr="003F3B4F">
              <w:rPr>
                <w:rFonts w:cs="Arial"/>
                <w:sz w:val="20"/>
                <w:szCs w:val="20"/>
                <w:lang w:val="es-ES"/>
              </w:rPr>
              <w:t xml:space="preserve"> - </w:t>
            </w:r>
            <w:r w:rsidRPr="003F3B4F">
              <w:rPr>
                <w:rFonts w:cs="Arial"/>
                <w:sz w:val="20"/>
                <w:szCs w:val="20"/>
              </w:rPr>
              <w:t>Planes de mejoramiento</w:t>
            </w:r>
          </w:p>
          <w:p w14:paraId="109C0BB6" w14:textId="77777777" w:rsidR="00BC02F4" w:rsidRPr="003F3B4F" w:rsidRDefault="00BC02F4" w:rsidP="00BC02F4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4D7A01CF" w14:textId="77777777" w:rsidR="00BC02F4" w:rsidRPr="003F3B4F" w:rsidRDefault="00BC02F4" w:rsidP="00BC02F4">
            <w:pPr>
              <w:spacing w:after="120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14:paraId="245DD4C5" w14:textId="77777777" w:rsidR="00167F07" w:rsidRPr="000539D0" w:rsidRDefault="00167F07" w:rsidP="0001726A">
      <w:pPr>
        <w:spacing w:after="120"/>
        <w:jc w:val="both"/>
        <w:rPr>
          <w:rFonts w:cs="Arial"/>
          <w:sz w:val="22"/>
          <w:szCs w:val="22"/>
        </w:rPr>
      </w:pPr>
    </w:p>
    <w:p w14:paraId="3EB85F82" w14:textId="77777777" w:rsidR="0038352B" w:rsidRDefault="0038352B" w:rsidP="0038352B">
      <w:pPr>
        <w:numPr>
          <w:ilvl w:val="0"/>
          <w:numId w:val="17"/>
        </w:numPr>
        <w:spacing w:after="120"/>
        <w:jc w:val="both"/>
        <w:rPr>
          <w:rFonts w:cs="Arial"/>
          <w:b/>
          <w:color w:val="000000"/>
          <w:sz w:val="22"/>
          <w:szCs w:val="22"/>
        </w:rPr>
      </w:pPr>
      <w:r w:rsidRPr="0038352B">
        <w:rPr>
          <w:rFonts w:cs="Arial"/>
          <w:b/>
          <w:color w:val="000000"/>
          <w:sz w:val="22"/>
          <w:szCs w:val="22"/>
        </w:rPr>
        <w:t>DOCUMENTOS DE REFERENCIA:</w:t>
      </w:r>
    </w:p>
    <w:p w14:paraId="4234E52E" w14:textId="77777777" w:rsidR="0014539E" w:rsidRDefault="0014539E" w:rsidP="0014539E">
      <w:pPr>
        <w:spacing w:after="120"/>
        <w:ind w:left="360"/>
        <w:jc w:val="both"/>
        <w:rPr>
          <w:rFonts w:cs="Arial"/>
          <w:b/>
          <w:color w:val="000000"/>
          <w:sz w:val="22"/>
          <w:szCs w:val="22"/>
        </w:rPr>
      </w:pPr>
      <w:r w:rsidRPr="003F3B4F">
        <w:rPr>
          <w:rFonts w:cs="Arial"/>
          <w:sz w:val="20"/>
          <w:szCs w:val="20"/>
        </w:rPr>
        <w:t>PR-EC-EV-01 - Planificación y ejecución de las auditorías de control interno y del sistema de gestión de la calidad</w:t>
      </w:r>
    </w:p>
    <w:p w14:paraId="0248DF38" w14:textId="77777777" w:rsidR="0038352B" w:rsidRDefault="0038352B" w:rsidP="0038352B">
      <w:pPr>
        <w:spacing w:after="120"/>
        <w:jc w:val="both"/>
        <w:rPr>
          <w:rFonts w:cs="Arial"/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2"/>
        <w:gridCol w:w="4982"/>
      </w:tblGrid>
      <w:tr w:rsidR="0038221B" w:rsidRPr="000539D0" w14:paraId="24DCADAB" w14:textId="77777777">
        <w:trPr>
          <w:trHeight w:val="369"/>
        </w:trPr>
        <w:tc>
          <w:tcPr>
            <w:tcW w:w="2500" w:type="pct"/>
            <w:vAlign w:val="center"/>
          </w:tcPr>
          <w:p w14:paraId="22215CB7" w14:textId="77777777" w:rsidR="0038221B" w:rsidRDefault="0038221B" w:rsidP="0001726A">
            <w:pPr>
              <w:pStyle w:val="Piedepgina"/>
              <w:spacing w:after="120"/>
              <w:rPr>
                <w:rFonts w:cs="Arial"/>
                <w:sz w:val="22"/>
                <w:szCs w:val="22"/>
              </w:rPr>
            </w:pPr>
            <w:r w:rsidRPr="000539D0">
              <w:rPr>
                <w:rFonts w:cs="Arial"/>
                <w:b/>
                <w:sz w:val="22"/>
                <w:szCs w:val="22"/>
              </w:rPr>
              <w:t>Elaboró:</w:t>
            </w:r>
            <w:r w:rsidR="009C266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C63F6" w:rsidRPr="00AC63F6">
              <w:rPr>
                <w:rFonts w:cs="Arial"/>
                <w:sz w:val="22"/>
                <w:szCs w:val="22"/>
              </w:rPr>
              <w:t>Beatriz Eliana Mejía</w:t>
            </w:r>
          </w:p>
          <w:p w14:paraId="0D308F6C" w14:textId="09FEEB3D" w:rsidR="00570E35" w:rsidRPr="000539D0" w:rsidRDefault="00570E35" w:rsidP="0001726A">
            <w:pPr>
              <w:pStyle w:val="Piedepgina"/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Andrés Julián Pulgarín   </w:t>
            </w:r>
          </w:p>
        </w:tc>
        <w:tc>
          <w:tcPr>
            <w:tcW w:w="2500" w:type="pct"/>
            <w:vAlign w:val="center"/>
          </w:tcPr>
          <w:p w14:paraId="1AFADC28" w14:textId="77777777" w:rsidR="0038221B" w:rsidRPr="000539D0" w:rsidRDefault="0038221B" w:rsidP="0001726A">
            <w:pPr>
              <w:pStyle w:val="Piedepgina"/>
              <w:spacing w:after="120"/>
              <w:rPr>
                <w:rFonts w:cs="Arial"/>
                <w:b/>
                <w:sz w:val="22"/>
                <w:szCs w:val="22"/>
              </w:rPr>
            </w:pPr>
            <w:r w:rsidRPr="000539D0">
              <w:rPr>
                <w:rFonts w:cs="Arial"/>
                <w:b/>
                <w:sz w:val="22"/>
                <w:szCs w:val="22"/>
              </w:rPr>
              <w:t>Aprobó:</w:t>
            </w:r>
            <w:r w:rsidR="009C266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C63F6" w:rsidRPr="00AC63F6">
              <w:rPr>
                <w:rFonts w:cs="Arial"/>
                <w:sz w:val="22"/>
                <w:szCs w:val="22"/>
              </w:rPr>
              <w:t>Beatriz Eliana Mejía</w:t>
            </w:r>
          </w:p>
        </w:tc>
      </w:tr>
      <w:tr w:rsidR="0038221B" w:rsidRPr="000539D0" w14:paraId="6EE15C04" w14:textId="77777777">
        <w:trPr>
          <w:trHeight w:val="369"/>
        </w:trPr>
        <w:tc>
          <w:tcPr>
            <w:tcW w:w="2500" w:type="pct"/>
            <w:vAlign w:val="center"/>
          </w:tcPr>
          <w:p w14:paraId="1344AA23" w14:textId="77777777" w:rsidR="0038221B" w:rsidRDefault="0038221B" w:rsidP="0001726A">
            <w:pPr>
              <w:pStyle w:val="Piedepgina"/>
              <w:spacing w:after="120"/>
              <w:rPr>
                <w:rFonts w:cs="Arial"/>
                <w:sz w:val="22"/>
                <w:szCs w:val="22"/>
              </w:rPr>
            </w:pPr>
            <w:r w:rsidRPr="000539D0">
              <w:rPr>
                <w:rFonts w:cs="Arial"/>
                <w:b/>
                <w:sz w:val="22"/>
                <w:szCs w:val="22"/>
              </w:rPr>
              <w:t>Cargo:</w:t>
            </w:r>
            <w:r w:rsidR="009C266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5577C" w:rsidRPr="0065577C">
              <w:rPr>
                <w:rFonts w:cs="Arial"/>
                <w:sz w:val="22"/>
                <w:szCs w:val="22"/>
              </w:rPr>
              <w:t>Jefe de Control Interno</w:t>
            </w:r>
          </w:p>
          <w:p w14:paraId="40FF495F" w14:textId="197668E3" w:rsidR="00570E35" w:rsidRPr="000539D0" w:rsidRDefault="00570E35" w:rsidP="0001726A">
            <w:pPr>
              <w:pStyle w:val="Piedepgina"/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Coordinador de Calidad</w:t>
            </w:r>
          </w:p>
        </w:tc>
        <w:tc>
          <w:tcPr>
            <w:tcW w:w="2500" w:type="pct"/>
            <w:vAlign w:val="center"/>
          </w:tcPr>
          <w:p w14:paraId="46552196" w14:textId="77777777" w:rsidR="0038221B" w:rsidRDefault="0038221B" w:rsidP="0001726A">
            <w:pPr>
              <w:pStyle w:val="Piedepgina"/>
              <w:spacing w:after="120"/>
              <w:rPr>
                <w:rFonts w:cs="Arial"/>
                <w:sz w:val="22"/>
                <w:szCs w:val="22"/>
              </w:rPr>
            </w:pPr>
            <w:r w:rsidRPr="000539D0">
              <w:rPr>
                <w:rFonts w:cs="Arial"/>
                <w:b/>
                <w:sz w:val="22"/>
                <w:szCs w:val="22"/>
              </w:rPr>
              <w:t>Cargo:</w:t>
            </w:r>
            <w:r w:rsidR="009C266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5577C" w:rsidRPr="0065577C">
              <w:rPr>
                <w:rFonts w:cs="Arial"/>
                <w:sz w:val="22"/>
                <w:szCs w:val="22"/>
              </w:rPr>
              <w:t>Jefe de Control Interno</w:t>
            </w:r>
          </w:p>
          <w:p w14:paraId="1CAE8998" w14:textId="77EC7BC5" w:rsidR="00081BA0" w:rsidRPr="000539D0" w:rsidRDefault="00081BA0" w:rsidP="0001726A">
            <w:pPr>
              <w:pStyle w:val="Piedepgina"/>
              <w:spacing w:after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4E0CC6" w:rsidRPr="000539D0" w14:paraId="30BAF6B9" w14:textId="77777777">
        <w:trPr>
          <w:trHeight w:val="369"/>
        </w:trPr>
        <w:tc>
          <w:tcPr>
            <w:tcW w:w="2500" w:type="pct"/>
            <w:vAlign w:val="center"/>
          </w:tcPr>
          <w:p w14:paraId="5693F073" w14:textId="77777777" w:rsidR="004E0CC6" w:rsidRPr="000539D0" w:rsidRDefault="004E0CC6" w:rsidP="00756534">
            <w:pPr>
              <w:pStyle w:val="Piedepgina"/>
              <w:spacing w:after="120"/>
              <w:rPr>
                <w:rFonts w:cs="Arial"/>
                <w:b/>
                <w:sz w:val="22"/>
                <w:szCs w:val="22"/>
              </w:rPr>
            </w:pPr>
            <w:r w:rsidRPr="000539D0">
              <w:rPr>
                <w:rFonts w:cs="Arial"/>
                <w:b/>
                <w:sz w:val="22"/>
                <w:szCs w:val="22"/>
              </w:rPr>
              <w:t xml:space="preserve">Fecha: </w:t>
            </w:r>
            <w:r w:rsidR="00BC02F4" w:rsidRPr="00BC02F4">
              <w:rPr>
                <w:rFonts w:cs="Arial"/>
                <w:bCs/>
                <w:sz w:val="22"/>
                <w:szCs w:val="22"/>
              </w:rPr>
              <w:t>01</w:t>
            </w:r>
            <w:r w:rsidR="00756534" w:rsidRPr="00BC02F4">
              <w:rPr>
                <w:bCs/>
                <w:sz w:val="22"/>
                <w:szCs w:val="22"/>
              </w:rPr>
              <w:t>/0</w:t>
            </w:r>
            <w:r w:rsidR="00BC02F4" w:rsidRPr="00BC02F4">
              <w:rPr>
                <w:bCs/>
                <w:sz w:val="22"/>
                <w:szCs w:val="22"/>
              </w:rPr>
              <w:t>9</w:t>
            </w:r>
            <w:r w:rsidR="00756534" w:rsidRPr="00BC02F4">
              <w:rPr>
                <w:bCs/>
                <w:sz w:val="22"/>
                <w:szCs w:val="22"/>
              </w:rPr>
              <w:t>/20</w:t>
            </w:r>
            <w:r w:rsidR="00BC02F4" w:rsidRPr="00BC02F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500" w:type="pct"/>
            <w:vAlign w:val="center"/>
          </w:tcPr>
          <w:p w14:paraId="047C544E" w14:textId="77777777" w:rsidR="004E0CC6" w:rsidRPr="00CE090E" w:rsidRDefault="004E0CC6" w:rsidP="00086FA9">
            <w:pPr>
              <w:pStyle w:val="Piedepgina"/>
              <w:spacing w:after="120"/>
              <w:rPr>
                <w:rFonts w:cs="Arial"/>
                <w:sz w:val="22"/>
                <w:szCs w:val="22"/>
              </w:rPr>
            </w:pPr>
            <w:r w:rsidRPr="000539D0">
              <w:rPr>
                <w:rFonts w:cs="Arial"/>
                <w:b/>
                <w:sz w:val="22"/>
                <w:szCs w:val="22"/>
              </w:rPr>
              <w:t>Fecha:</w:t>
            </w:r>
            <w:r w:rsidR="00BC02F4" w:rsidRPr="00BC02F4">
              <w:rPr>
                <w:rFonts w:cs="Arial"/>
                <w:bCs/>
                <w:sz w:val="22"/>
                <w:szCs w:val="22"/>
              </w:rPr>
              <w:t xml:space="preserve"> 01</w:t>
            </w:r>
            <w:r w:rsidR="00BC02F4" w:rsidRPr="00BC02F4">
              <w:rPr>
                <w:bCs/>
                <w:sz w:val="22"/>
                <w:szCs w:val="22"/>
              </w:rPr>
              <w:t>/09/2023</w:t>
            </w:r>
          </w:p>
        </w:tc>
      </w:tr>
    </w:tbl>
    <w:p w14:paraId="0F97EE80" w14:textId="77777777" w:rsidR="00873A10" w:rsidRPr="000539D0" w:rsidRDefault="00873A10" w:rsidP="0001726A">
      <w:pPr>
        <w:spacing w:after="120"/>
        <w:ind w:left="360"/>
        <w:jc w:val="both"/>
        <w:rPr>
          <w:rFonts w:cs="Arial"/>
          <w:color w:val="000000"/>
          <w:sz w:val="22"/>
          <w:szCs w:val="22"/>
        </w:rPr>
      </w:pPr>
    </w:p>
    <w:p w14:paraId="52A56F6D" w14:textId="77777777" w:rsidR="00937986" w:rsidRPr="000539D0" w:rsidRDefault="00937986" w:rsidP="0001726A">
      <w:pPr>
        <w:spacing w:after="120"/>
        <w:ind w:left="708"/>
        <w:jc w:val="both"/>
        <w:rPr>
          <w:rFonts w:cs="Arial"/>
          <w:color w:val="000000"/>
          <w:sz w:val="22"/>
          <w:szCs w:val="22"/>
        </w:rPr>
      </w:pPr>
    </w:p>
    <w:sectPr w:rsidR="00937986" w:rsidRPr="000539D0" w:rsidSect="00F576AA">
      <w:headerReference w:type="default" r:id="rId7"/>
      <w:footerReference w:type="default" r:id="rId8"/>
      <w:pgSz w:w="12242" w:h="15842" w:code="11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A102F" w14:textId="77777777" w:rsidR="0081069C" w:rsidRDefault="0081069C">
      <w:r>
        <w:separator/>
      </w:r>
    </w:p>
  </w:endnote>
  <w:endnote w:type="continuationSeparator" w:id="0">
    <w:p w14:paraId="57B07EB8" w14:textId="77777777" w:rsidR="0081069C" w:rsidRDefault="0081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stmins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D6E5" w14:textId="0C6C035F" w:rsidR="009C266C" w:rsidRPr="00756534" w:rsidRDefault="00B74E73" w:rsidP="009C266C">
    <w:pPr>
      <w:jc w:val="right"/>
      <w:rPr>
        <w:i/>
        <w:sz w:val="16"/>
        <w:szCs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Página </w:t>
    </w:r>
    <w:r w:rsidR="007C561A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7C561A">
      <w:rPr>
        <w:snapToGrid w:val="0"/>
        <w:sz w:val="18"/>
      </w:rPr>
      <w:fldChar w:fldCharType="separate"/>
    </w:r>
    <w:r w:rsidR="001A44B1">
      <w:rPr>
        <w:noProof/>
        <w:snapToGrid w:val="0"/>
        <w:sz w:val="18"/>
      </w:rPr>
      <w:t>1</w:t>
    </w:r>
    <w:r w:rsidR="007C561A">
      <w:rPr>
        <w:snapToGrid w:val="0"/>
        <w:sz w:val="18"/>
      </w:rPr>
      <w:fldChar w:fldCharType="end"/>
    </w:r>
    <w:r>
      <w:rPr>
        <w:snapToGrid w:val="0"/>
        <w:sz w:val="18"/>
      </w:rPr>
      <w:t xml:space="preserve"> de </w:t>
    </w:r>
    <w:r w:rsidR="007C561A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 w:rsidR="007C561A">
      <w:rPr>
        <w:snapToGrid w:val="0"/>
        <w:sz w:val="18"/>
      </w:rPr>
      <w:fldChar w:fldCharType="separate"/>
    </w:r>
    <w:r w:rsidR="001A44B1">
      <w:rPr>
        <w:noProof/>
        <w:snapToGrid w:val="0"/>
        <w:sz w:val="18"/>
      </w:rPr>
      <w:t>3</w:t>
    </w:r>
    <w:r w:rsidR="007C561A">
      <w:rPr>
        <w:snapToGrid w:val="0"/>
        <w:sz w:val="18"/>
      </w:rPr>
      <w:fldChar w:fldCharType="end"/>
    </w:r>
    <w:r w:rsidR="009C266C">
      <w:rPr>
        <w:snapToGrid w:val="0"/>
        <w:sz w:val="18"/>
      </w:rPr>
      <w:t xml:space="preserve">                                                                                                             </w:t>
    </w:r>
    <w:r w:rsidR="009C266C" w:rsidRPr="00756534">
      <w:rPr>
        <w:i/>
        <w:sz w:val="16"/>
        <w:szCs w:val="18"/>
      </w:rPr>
      <w:t>CÓDIGO: PR-EC-EV-02</w:t>
    </w:r>
  </w:p>
  <w:p w14:paraId="7959B195" w14:textId="6AEBC5C0" w:rsidR="009C266C" w:rsidRPr="00756534" w:rsidRDefault="009C266C" w:rsidP="009C266C">
    <w:pPr>
      <w:jc w:val="right"/>
      <w:rPr>
        <w:i/>
        <w:sz w:val="16"/>
        <w:szCs w:val="18"/>
      </w:rPr>
    </w:pPr>
    <w:r w:rsidRPr="00756534">
      <w:rPr>
        <w:i/>
        <w:sz w:val="16"/>
        <w:szCs w:val="18"/>
      </w:rPr>
      <w:t>VERSIÓN: 0</w:t>
    </w:r>
    <w:r w:rsidR="00570E35">
      <w:rPr>
        <w:i/>
        <w:sz w:val="16"/>
        <w:szCs w:val="18"/>
      </w:rPr>
      <w:t>5</w:t>
    </w:r>
  </w:p>
  <w:p w14:paraId="00FE8949" w14:textId="045AE32A" w:rsidR="00B74E73" w:rsidRPr="00756534" w:rsidRDefault="009C266C" w:rsidP="009C266C">
    <w:pPr>
      <w:pStyle w:val="Piedepgina"/>
      <w:jc w:val="right"/>
      <w:rPr>
        <w:sz w:val="16"/>
      </w:rPr>
    </w:pPr>
    <w:r w:rsidRPr="00756534">
      <w:rPr>
        <w:i/>
        <w:sz w:val="16"/>
        <w:szCs w:val="18"/>
      </w:rPr>
      <w:t>FECHA:</w:t>
    </w:r>
    <w:r w:rsidR="00570E35">
      <w:rPr>
        <w:i/>
        <w:sz w:val="16"/>
        <w:szCs w:val="18"/>
      </w:rPr>
      <w:t>01/09/2023</w:t>
    </w:r>
    <w:r w:rsidRPr="00756534">
      <w:rPr>
        <w:i/>
        <w:sz w:val="16"/>
        <w:szCs w:val="18"/>
      </w:rPr>
      <w:t xml:space="preserve"> </w:t>
    </w:r>
  </w:p>
  <w:p w14:paraId="3FE56C25" w14:textId="77777777" w:rsidR="00B74E73" w:rsidRPr="00756534" w:rsidRDefault="00B74E73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FAE3" w14:textId="77777777" w:rsidR="0081069C" w:rsidRDefault="0081069C">
      <w:r>
        <w:separator/>
      </w:r>
    </w:p>
  </w:footnote>
  <w:footnote w:type="continuationSeparator" w:id="0">
    <w:p w14:paraId="01ABA5DB" w14:textId="77777777" w:rsidR="0081069C" w:rsidRDefault="0081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6"/>
      <w:gridCol w:w="7108"/>
    </w:tblGrid>
    <w:tr w:rsidR="009C266C" w14:paraId="25B5DEE2" w14:textId="77777777" w:rsidTr="001A44B1">
      <w:trPr>
        <w:cantSplit/>
        <w:trHeight w:val="699"/>
      </w:trPr>
      <w:tc>
        <w:tcPr>
          <w:tcW w:w="1433" w:type="pct"/>
          <w:shd w:val="clear" w:color="auto" w:fill="FFFFFF"/>
          <w:vAlign w:val="center"/>
        </w:tcPr>
        <w:p w14:paraId="7A149A7E" w14:textId="4956BE94" w:rsidR="009C266C" w:rsidRDefault="001A44B1" w:rsidP="00512C89">
          <w:pPr>
            <w:pStyle w:val="Ttulo"/>
            <w:ind w:right="360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1FDA0C2F" wp14:editId="0B122771">
                <wp:extent cx="1495425" cy="332317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lemedell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458" cy="336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7" w:type="pct"/>
          <w:shd w:val="clear" w:color="auto" w:fill="FFFFFF"/>
          <w:vAlign w:val="center"/>
        </w:tcPr>
        <w:p w14:paraId="0377CB10" w14:textId="77777777" w:rsidR="009C266C" w:rsidRPr="009C266C" w:rsidRDefault="009C266C" w:rsidP="009C266C">
          <w:pPr>
            <w:jc w:val="center"/>
            <w:rPr>
              <w:b/>
              <w:sz w:val="22"/>
              <w:szCs w:val="22"/>
            </w:rPr>
          </w:pPr>
          <w:r w:rsidRPr="009C266C">
            <w:rPr>
              <w:b/>
              <w:sz w:val="22"/>
              <w:szCs w:val="22"/>
            </w:rPr>
            <w:t>SISTEMA DE CONTROL INTERN</w:t>
          </w:r>
          <w:r w:rsidR="00513E2A">
            <w:rPr>
              <w:b/>
              <w:sz w:val="22"/>
              <w:szCs w:val="22"/>
            </w:rPr>
            <w:t xml:space="preserve">O </w:t>
          </w:r>
        </w:p>
      </w:tc>
    </w:tr>
  </w:tbl>
  <w:p w14:paraId="4D34552C" w14:textId="77777777" w:rsidR="00B74E73" w:rsidRDefault="00B74E73">
    <w:pPr>
      <w:pStyle w:val="Ttulo"/>
      <w:spacing w:before="60" w:after="60"/>
      <w:rPr>
        <w:rFonts w:ascii="Verdana" w:hAnsi="Verdana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04C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A7A3B"/>
    <w:multiLevelType w:val="multilevel"/>
    <w:tmpl w:val="7786F05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" w15:restartNumberingAfterBreak="0">
    <w:nsid w:val="099B3AA1"/>
    <w:multiLevelType w:val="hybridMultilevel"/>
    <w:tmpl w:val="F21238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2098"/>
    <w:multiLevelType w:val="hybridMultilevel"/>
    <w:tmpl w:val="57D88F9E"/>
    <w:lvl w:ilvl="0" w:tplc="CEC26E9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2F67D2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68D03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AB4763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C34DCC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3325D6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2ACEB8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3F68B1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9D8168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6A68B8"/>
    <w:multiLevelType w:val="hybridMultilevel"/>
    <w:tmpl w:val="2BBEA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A69"/>
    <w:multiLevelType w:val="multilevel"/>
    <w:tmpl w:val="7786F0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A22EE6"/>
    <w:multiLevelType w:val="hybridMultilevel"/>
    <w:tmpl w:val="BF1407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6740A"/>
    <w:multiLevelType w:val="hybridMultilevel"/>
    <w:tmpl w:val="ED6E12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76C4"/>
    <w:multiLevelType w:val="hybridMultilevel"/>
    <w:tmpl w:val="885EE338"/>
    <w:lvl w:ilvl="0" w:tplc="9F9CB7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430B"/>
    <w:multiLevelType w:val="hybridMultilevel"/>
    <w:tmpl w:val="A75044A4"/>
    <w:lvl w:ilvl="0" w:tplc="E26E429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F84519"/>
    <w:multiLevelType w:val="hybridMultilevel"/>
    <w:tmpl w:val="35101E04"/>
    <w:lvl w:ilvl="0" w:tplc="C93C847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</w:rPr>
    </w:lvl>
    <w:lvl w:ilvl="1" w:tplc="94DAEDA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4A5AEF5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25A4D1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37E22D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FF45E4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BDAC06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764ABA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DE40C41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B94E29"/>
    <w:multiLevelType w:val="hybridMultilevel"/>
    <w:tmpl w:val="8092C9EA"/>
    <w:lvl w:ilvl="0" w:tplc="D9FE5CD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2452A"/>
    <w:multiLevelType w:val="hybridMultilevel"/>
    <w:tmpl w:val="21F87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785263"/>
    <w:multiLevelType w:val="hybridMultilevel"/>
    <w:tmpl w:val="599074A0"/>
    <w:lvl w:ilvl="0" w:tplc="780267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478C7"/>
    <w:multiLevelType w:val="hybridMultilevel"/>
    <w:tmpl w:val="9A9AB398"/>
    <w:lvl w:ilvl="0" w:tplc="18247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34A91"/>
    <w:multiLevelType w:val="hybridMultilevel"/>
    <w:tmpl w:val="D564D454"/>
    <w:lvl w:ilvl="0" w:tplc="6178AE86">
      <w:start w:val="1"/>
      <w:numFmt w:val="bullet"/>
      <w:lvlText w:val="—"/>
      <w:lvlJc w:val="left"/>
      <w:pPr>
        <w:tabs>
          <w:tab w:val="num" w:pos="1068"/>
        </w:tabs>
        <w:ind w:left="1068" w:hanging="360"/>
      </w:pPr>
      <w:rPr>
        <w:rFonts w:ascii="Westminster" w:hAnsi="Westminster" w:hint="default"/>
      </w:rPr>
    </w:lvl>
    <w:lvl w:ilvl="1" w:tplc="ECCE5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720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EB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AC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CC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C8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85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4E1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F48DF"/>
    <w:multiLevelType w:val="hybridMultilevel"/>
    <w:tmpl w:val="BC14E004"/>
    <w:lvl w:ilvl="0" w:tplc="AFB67A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265A4"/>
    <w:multiLevelType w:val="hybridMultilevel"/>
    <w:tmpl w:val="35101E04"/>
    <w:lvl w:ilvl="0" w:tplc="7C9A999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747D90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8D08E6B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D9E8F3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8944DB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10F6235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D4A8F7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3B2D38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4DF2AD0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060B7D"/>
    <w:multiLevelType w:val="hybridMultilevel"/>
    <w:tmpl w:val="CE9CC0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F26037"/>
    <w:multiLevelType w:val="hybridMultilevel"/>
    <w:tmpl w:val="B366FE72"/>
    <w:lvl w:ilvl="0" w:tplc="AFB67A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83FB3"/>
    <w:multiLevelType w:val="multilevel"/>
    <w:tmpl w:val="D1787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1721262"/>
    <w:multiLevelType w:val="multilevel"/>
    <w:tmpl w:val="0156B88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5F7280"/>
    <w:multiLevelType w:val="hybridMultilevel"/>
    <w:tmpl w:val="30F6C2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6A758E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630192"/>
    <w:multiLevelType w:val="hybridMultilevel"/>
    <w:tmpl w:val="0812EEFA"/>
    <w:lvl w:ilvl="0" w:tplc="5B288332">
      <w:start w:val="1"/>
      <w:numFmt w:val="bullet"/>
      <w:lvlText w:val="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FD89CBC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8280E1AA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9D64C8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6406ABB6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D57A680A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CDB4053A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CA7A4134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F8685058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7433254C"/>
    <w:multiLevelType w:val="hybridMultilevel"/>
    <w:tmpl w:val="29D2C74A"/>
    <w:lvl w:ilvl="0" w:tplc="AD866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236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8165D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BCA0BBC">
      <w:numFmt w:val="none"/>
      <w:lvlText w:val=""/>
      <w:lvlJc w:val="left"/>
      <w:pPr>
        <w:tabs>
          <w:tab w:val="num" w:pos="360"/>
        </w:tabs>
      </w:pPr>
    </w:lvl>
    <w:lvl w:ilvl="4" w:tplc="A4F615EE">
      <w:numFmt w:val="none"/>
      <w:lvlText w:val=""/>
      <w:lvlJc w:val="left"/>
      <w:pPr>
        <w:tabs>
          <w:tab w:val="num" w:pos="360"/>
        </w:tabs>
      </w:pPr>
    </w:lvl>
    <w:lvl w:ilvl="5" w:tplc="9278AF82">
      <w:numFmt w:val="none"/>
      <w:lvlText w:val=""/>
      <w:lvlJc w:val="left"/>
      <w:pPr>
        <w:tabs>
          <w:tab w:val="num" w:pos="360"/>
        </w:tabs>
      </w:pPr>
    </w:lvl>
    <w:lvl w:ilvl="6" w:tplc="A0AA3038">
      <w:numFmt w:val="none"/>
      <w:lvlText w:val=""/>
      <w:lvlJc w:val="left"/>
      <w:pPr>
        <w:tabs>
          <w:tab w:val="num" w:pos="360"/>
        </w:tabs>
      </w:pPr>
    </w:lvl>
    <w:lvl w:ilvl="7" w:tplc="4FFC0C56">
      <w:numFmt w:val="none"/>
      <w:lvlText w:val=""/>
      <w:lvlJc w:val="left"/>
      <w:pPr>
        <w:tabs>
          <w:tab w:val="num" w:pos="360"/>
        </w:tabs>
      </w:pPr>
    </w:lvl>
    <w:lvl w:ilvl="8" w:tplc="7F02E1A4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7210361"/>
    <w:multiLevelType w:val="hybridMultilevel"/>
    <w:tmpl w:val="D47894CA"/>
    <w:lvl w:ilvl="0" w:tplc="33407B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BD0FC3"/>
    <w:multiLevelType w:val="multilevel"/>
    <w:tmpl w:val="1F3487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24"/>
  </w:num>
  <w:num w:numId="4">
    <w:abstractNumId w:val="3"/>
  </w:num>
  <w:num w:numId="5">
    <w:abstractNumId w:val="17"/>
  </w:num>
  <w:num w:numId="6">
    <w:abstractNumId w:val="10"/>
  </w:num>
  <w:num w:numId="7">
    <w:abstractNumId w:val="23"/>
  </w:num>
  <w:num w:numId="8">
    <w:abstractNumId w:val="5"/>
  </w:num>
  <w:num w:numId="9">
    <w:abstractNumId w:val="0"/>
  </w:num>
  <w:num w:numId="10">
    <w:abstractNumId w:val="1"/>
  </w:num>
  <w:num w:numId="11">
    <w:abstractNumId w:val="15"/>
  </w:num>
  <w:num w:numId="12">
    <w:abstractNumId w:val="14"/>
  </w:num>
  <w:num w:numId="13">
    <w:abstractNumId w:val="25"/>
  </w:num>
  <w:num w:numId="14">
    <w:abstractNumId w:val="22"/>
  </w:num>
  <w:num w:numId="15">
    <w:abstractNumId w:val="7"/>
  </w:num>
  <w:num w:numId="16">
    <w:abstractNumId w:val="2"/>
  </w:num>
  <w:num w:numId="17">
    <w:abstractNumId w:val="13"/>
  </w:num>
  <w:num w:numId="18">
    <w:abstractNumId w:val="4"/>
  </w:num>
  <w:num w:numId="19">
    <w:abstractNumId w:val="6"/>
  </w:num>
  <w:num w:numId="20">
    <w:abstractNumId w:val="19"/>
  </w:num>
  <w:num w:numId="21">
    <w:abstractNumId w:val="16"/>
  </w:num>
  <w:num w:numId="22">
    <w:abstractNumId w:val="8"/>
  </w:num>
  <w:num w:numId="23">
    <w:abstractNumId w:val="20"/>
  </w:num>
  <w:num w:numId="24">
    <w:abstractNumId w:val="18"/>
  </w:num>
  <w:num w:numId="25">
    <w:abstractNumId w:val="12"/>
  </w:num>
  <w:num w:numId="26">
    <w:abstractNumId w:val="11"/>
  </w:num>
  <w:num w:numId="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61"/>
    <w:rsid w:val="0001597B"/>
    <w:rsid w:val="0001726A"/>
    <w:rsid w:val="0002744A"/>
    <w:rsid w:val="00030C97"/>
    <w:rsid w:val="00031F1D"/>
    <w:rsid w:val="00034081"/>
    <w:rsid w:val="00046329"/>
    <w:rsid w:val="0005081A"/>
    <w:rsid w:val="000539D0"/>
    <w:rsid w:val="00081BA0"/>
    <w:rsid w:val="00086FA9"/>
    <w:rsid w:val="00095CFD"/>
    <w:rsid w:val="000A42D3"/>
    <w:rsid w:val="000A4C67"/>
    <w:rsid w:val="000A5827"/>
    <w:rsid w:val="000B4AE6"/>
    <w:rsid w:val="000C50C3"/>
    <w:rsid w:val="000F23C2"/>
    <w:rsid w:val="000F2F3E"/>
    <w:rsid w:val="000F6E4E"/>
    <w:rsid w:val="0010013B"/>
    <w:rsid w:val="001144B8"/>
    <w:rsid w:val="00121A3B"/>
    <w:rsid w:val="001247A3"/>
    <w:rsid w:val="00127DC4"/>
    <w:rsid w:val="00142916"/>
    <w:rsid w:val="0014539E"/>
    <w:rsid w:val="001674D8"/>
    <w:rsid w:val="00167F07"/>
    <w:rsid w:val="001716EE"/>
    <w:rsid w:val="001824C4"/>
    <w:rsid w:val="001931DB"/>
    <w:rsid w:val="001945E5"/>
    <w:rsid w:val="00196652"/>
    <w:rsid w:val="001A376C"/>
    <w:rsid w:val="001A44B1"/>
    <w:rsid w:val="001B4DE7"/>
    <w:rsid w:val="001B550D"/>
    <w:rsid w:val="001B7B82"/>
    <w:rsid w:val="001C1B60"/>
    <w:rsid w:val="001C3610"/>
    <w:rsid w:val="001D0D6C"/>
    <w:rsid w:val="001D32A5"/>
    <w:rsid w:val="002115AE"/>
    <w:rsid w:val="002151FC"/>
    <w:rsid w:val="0022028B"/>
    <w:rsid w:val="0025099F"/>
    <w:rsid w:val="00250F4B"/>
    <w:rsid w:val="00283BAB"/>
    <w:rsid w:val="00292727"/>
    <w:rsid w:val="002A29E6"/>
    <w:rsid w:val="002B5D93"/>
    <w:rsid w:val="002C18C1"/>
    <w:rsid w:val="002C27C1"/>
    <w:rsid w:val="002C472F"/>
    <w:rsid w:val="002C5619"/>
    <w:rsid w:val="002C70E1"/>
    <w:rsid w:val="003426C7"/>
    <w:rsid w:val="00344D91"/>
    <w:rsid w:val="0038221B"/>
    <w:rsid w:val="0038352B"/>
    <w:rsid w:val="0038425B"/>
    <w:rsid w:val="003873BE"/>
    <w:rsid w:val="00390D09"/>
    <w:rsid w:val="003B2D66"/>
    <w:rsid w:val="003D2A8F"/>
    <w:rsid w:val="003E528C"/>
    <w:rsid w:val="003F598F"/>
    <w:rsid w:val="00405B06"/>
    <w:rsid w:val="0040719E"/>
    <w:rsid w:val="00416ADE"/>
    <w:rsid w:val="0042029C"/>
    <w:rsid w:val="00430110"/>
    <w:rsid w:val="00444536"/>
    <w:rsid w:val="00445C8F"/>
    <w:rsid w:val="00453D02"/>
    <w:rsid w:val="004871D8"/>
    <w:rsid w:val="004933FB"/>
    <w:rsid w:val="00497ADE"/>
    <w:rsid w:val="004A3095"/>
    <w:rsid w:val="004A400A"/>
    <w:rsid w:val="004A6E19"/>
    <w:rsid w:val="004A7390"/>
    <w:rsid w:val="004B4E89"/>
    <w:rsid w:val="004D0F58"/>
    <w:rsid w:val="004D25C7"/>
    <w:rsid w:val="004D44A4"/>
    <w:rsid w:val="004D57FD"/>
    <w:rsid w:val="004E0CC6"/>
    <w:rsid w:val="004E163F"/>
    <w:rsid w:val="004F2586"/>
    <w:rsid w:val="004F41AF"/>
    <w:rsid w:val="004F6707"/>
    <w:rsid w:val="00503C28"/>
    <w:rsid w:val="00512C89"/>
    <w:rsid w:val="00513E2A"/>
    <w:rsid w:val="00550714"/>
    <w:rsid w:val="00553EB0"/>
    <w:rsid w:val="005663D8"/>
    <w:rsid w:val="00567C32"/>
    <w:rsid w:val="00570B1F"/>
    <w:rsid w:val="00570E35"/>
    <w:rsid w:val="0057102E"/>
    <w:rsid w:val="00575337"/>
    <w:rsid w:val="0059026A"/>
    <w:rsid w:val="005B6777"/>
    <w:rsid w:val="005E0261"/>
    <w:rsid w:val="005F716A"/>
    <w:rsid w:val="00613CB8"/>
    <w:rsid w:val="00637FCB"/>
    <w:rsid w:val="0065577C"/>
    <w:rsid w:val="00656C14"/>
    <w:rsid w:val="00663FF1"/>
    <w:rsid w:val="00665B52"/>
    <w:rsid w:val="00665C11"/>
    <w:rsid w:val="00666AF5"/>
    <w:rsid w:val="006A25E6"/>
    <w:rsid w:val="006B6A95"/>
    <w:rsid w:val="006D1868"/>
    <w:rsid w:val="006E0E83"/>
    <w:rsid w:val="006F0631"/>
    <w:rsid w:val="007008F3"/>
    <w:rsid w:val="00711A3D"/>
    <w:rsid w:val="007130AB"/>
    <w:rsid w:val="00720684"/>
    <w:rsid w:val="00735464"/>
    <w:rsid w:val="0073762E"/>
    <w:rsid w:val="00742D8B"/>
    <w:rsid w:val="007445B0"/>
    <w:rsid w:val="00756534"/>
    <w:rsid w:val="00776300"/>
    <w:rsid w:val="007861A5"/>
    <w:rsid w:val="007902C0"/>
    <w:rsid w:val="00791E13"/>
    <w:rsid w:val="007B3071"/>
    <w:rsid w:val="007C0281"/>
    <w:rsid w:val="007C2A57"/>
    <w:rsid w:val="007C561A"/>
    <w:rsid w:val="007E74FE"/>
    <w:rsid w:val="007F2229"/>
    <w:rsid w:val="007F2272"/>
    <w:rsid w:val="008011E6"/>
    <w:rsid w:val="0081069C"/>
    <w:rsid w:val="00811A7A"/>
    <w:rsid w:val="00824EC1"/>
    <w:rsid w:val="008260B1"/>
    <w:rsid w:val="008326E0"/>
    <w:rsid w:val="0083599C"/>
    <w:rsid w:val="008408AE"/>
    <w:rsid w:val="008614AF"/>
    <w:rsid w:val="00867C61"/>
    <w:rsid w:val="00873A10"/>
    <w:rsid w:val="0088479D"/>
    <w:rsid w:val="00886DAC"/>
    <w:rsid w:val="00892E7D"/>
    <w:rsid w:val="00897391"/>
    <w:rsid w:val="008A1D7D"/>
    <w:rsid w:val="008A54C7"/>
    <w:rsid w:val="008A5834"/>
    <w:rsid w:val="008B3981"/>
    <w:rsid w:val="008B464F"/>
    <w:rsid w:val="008C2AEF"/>
    <w:rsid w:val="008C7338"/>
    <w:rsid w:val="008D58B9"/>
    <w:rsid w:val="008E040A"/>
    <w:rsid w:val="008F20B7"/>
    <w:rsid w:val="008F2F66"/>
    <w:rsid w:val="008F3F1B"/>
    <w:rsid w:val="00915A75"/>
    <w:rsid w:val="00931666"/>
    <w:rsid w:val="00937986"/>
    <w:rsid w:val="00957760"/>
    <w:rsid w:val="00960264"/>
    <w:rsid w:val="00965D67"/>
    <w:rsid w:val="0097140F"/>
    <w:rsid w:val="00984855"/>
    <w:rsid w:val="00996E79"/>
    <w:rsid w:val="009B4B8D"/>
    <w:rsid w:val="009B64A3"/>
    <w:rsid w:val="009C266C"/>
    <w:rsid w:val="009C3C50"/>
    <w:rsid w:val="00A103B4"/>
    <w:rsid w:val="00A13B5F"/>
    <w:rsid w:val="00A26639"/>
    <w:rsid w:val="00A30958"/>
    <w:rsid w:val="00A41F18"/>
    <w:rsid w:val="00A52CB7"/>
    <w:rsid w:val="00A67764"/>
    <w:rsid w:val="00A679EB"/>
    <w:rsid w:val="00A83B79"/>
    <w:rsid w:val="00A85525"/>
    <w:rsid w:val="00A91E92"/>
    <w:rsid w:val="00A93A39"/>
    <w:rsid w:val="00AA66C6"/>
    <w:rsid w:val="00AC431A"/>
    <w:rsid w:val="00AC63F6"/>
    <w:rsid w:val="00AD2F26"/>
    <w:rsid w:val="00AD5382"/>
    <w:rsid w:val="00AD6274"/>
    <w:rsid w:val="00B10F4D"/>
    <w:rsid w:val="00B12C05"/>
    <w:rsid w:val="00B44F19"/>
    <w:rsid w:val="00B511D6"/>
    <w:rsid w:val="00B52DDC"/>
    <w:rsid w:val="00B66342"/>
    <w:rsid w:val="00B74E73"/>
    <w:rsid w:val="00B770DD"/>
    <w:rsid w:val="00B80EF0"/>
    <w:rsid w:val="00B92B89"/>
    <w:rsid w:val="00B95196"/>
    <w:rsid w:val="00B97214"/>
    <w:rsid w:val="00BA6E2B"/>
    <w:rsid w:val="00BA750C"/>
    <w:rsid w:val="00BA7674"/>
    <w:rsid w:val="00BB6F9B"/>
    <w:rsid w:val="00BB7C62"/>
    <w:rsid w:val="00BC02F4"/>
    <w:rsid w:val="00BC1B55"/>
    <w:rsid w:val="00BC345E"/>
    <w:rsid w:val="00BE2082"/>
    <w:rsid w:val="00BE344C"/>
    <w:rsid w:val="00BE50FB"/>
    <w:rsid w:val="00BE51EF"/>
    <w:rsid w:val="00C0218C"/>
    <w:rsid w:val="00C13825"/>
    <w:rsid w:val="00C22378"/>
    <w:rsid w:val="00C31E57"/>
    <w:rsid w:val="00C33988"/>
    <w:rsid w:val="00C52AFE"/>
    <w:rsid w:val="00C718AD"/>
    <w:rsid w:val="00C81E30"/>
    <w:rsid w:val="00C82E2C"/>
    <w:rsid w:val="00C84ED7"/>
    <w:rsid w:val="00C876A3"/>
    <w:rsid w:val="00CA0CA2"/>
    <w:rsid w:val="00CE090E"/>
    <w:rsid w:val="00CE3E4B"/>
    <w:rsid w:val="00CE4EE9"/>
    <w:rsid w:val="00CE7A6B"/>
    <w:rsid w:val="00CF0364"/>
    <w:rsid w:val="00CF1DC2"/>
    <w:rsid w:val="00D034C6"/>
    <w:rsid w:val="00D1270A"/>
    <w:rsid w:val="00D1594F"/>
    <w:rsid w:val="00D21873"/>
    <w:rsid w:val="00D5730E"/>
    <w:rsid w:val="00D667BC"/>
    <w:rsid w:val="00D70B17"/>
    <w:rsid w:val="00D7644B"/>
    <w:rsid w:val="00D94061"/>
    <w:rsid w:val="00DA665E"/>
    <w:rsid w:val="00DB03C8"/>
    <w:rsid w:val="00DB3137"/>
    <w:rsid w:val="00DC4400"/>
    <w:rsid w:val="00DC692E"/>
    <w:rsid w:val="00DC6997"/>
    <w:rsid w:val="00DC6C83"/>
    <w:rsid w:val="00DD0068"/>
    <w:rsid w:val="00DD30BE"/>
    <w:rsid w:val="00DE0E70"/>
    <w:rsid w:val="00DE3CCF"/>
    <w:rsid w:val="00E1439A"/>
    <w:rsid w:val="00E1520F"/>
    <w:rsid w:val="00E26929"/>
    <w:rsid w:val="00E30617"/>
    <w:rsid w:val="00E3551E"/>
    <w:rsid w:val="00E359A9"/>
    <w:rsid w:val="00E83A00"/>
    <w:rsid w:val="00E95079"/>
    <w:rsid w:val="00EB2693"/>
    <w:rsid w:val="00EB554F"/>
    <w:rsid w:val="00EC163D"/>
    <w:rsid w:val="00ED35B2"/>
    <w:rsid w:val="00ED6DCD"/>
    <w:rsid w:val="00EF2882"/>
    <w:rsid w:val="00EF3FE0"/>
    <w:rsid w:val="00F152DB"/>
    <w:rsid w:val="00F153C4"/>
    <w:rsid w:val="00F51926"/>
    <w:rsid w:val="00F576AA"/>
    <w:rsid w:val="00F82A6E"/>
    <w:rsid w:val="00FB5AB0"/>
    <w:rsid w:val="00FC175B"/>
    <w:rsid w:val="00FC1DC8"/>
    <w:rsid w:val="00FD1314"/>
    <w:rsid w:val="00FD7230"/>
    <w:rsid w:val="00FE6CDB"/>
    <w:rsid w:val="00FF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,"/>
  <w:listSeparator w:val=";"/>
  <w14:docId w14:val="368CB718"/>
  <w15:docId w15:val="{D3B6D8FF-68B2-E442-ADD1-4C47DED3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09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390D09"/>
    <w:pPr>
      <w:keepNext/>
      <w:numPr>
        <w:numId w:val="1"/>
      </w:numPr>
      <w:spacing w:before="40" w:after="40"/>
      <w:jc w:val="center"/>
      <w:outlineLvl w:val="0"/>
    </w:pPr>
    <w:rPr>
      <w:rFonts w:ascii="Book Antiqua" w:hAnsi="Book Antiqua"/>
      <w:b/>
      <w:i/>
      <w:sz w:val="18"/>
    </w:rPr>
  </w:style>
  <w:style w:type="paragraph" w:styleId="Ttulo2">
    <w:name w:val="heading 2"/>
    <w:basedOn w:val="Normal"/>
    <w:next w:val="Normal"/>
    <w:qFormat/>
    <w:rsid w:val="00390D09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90D09"/>
    <w:pPr>
      <w:keepNext/>
      <w:framePr w:hSpace="141" w:wrap="around" w:vAnchor="text" w:hAnchor="text" w:xAlign="center" w:y="1"/>
      <w:numPr>
        <w:ilvl w:val="2"/>
        <w:numId w:val="1"/>
      </w:numPr>
      <w:spacing w:before="40" w:after="40"/>
      <w:suppressOverlap/>
      <w:jc w:val="center"/>
      <w:outlineLvl w:val="2"/>
    </w:pPr>
    <w:rPr>
      <w:rFonts w:ascii="Book Antiqua" w:hAnsi="Book Antiqua"/>
      <w:b/>
      <w:i/>
      <w:sz w:val="18"/>
    </w:rPr>
  </w:style>
  <w:style w:type="paragraph" w:styleId="Ttulo4">
    <w:name w:val="heading 4"/>
    <w:basedOn w:val="Normal"/>
    <w:next w:val="Normal"/>
    <w:qFormat/>
    <w:rsid w:val="00390D09"/>
    <w:pPr>
      <w:keepNext/>
      <w:numPr>
        <w:ilvl w:val="3"/>
        <w:numId w:val="1"/>
      </w:numPr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390D09"/>
    <w:pPr>
      <w:keepNext/>
      <w:numPr>
        <w:ilvl w:val="4"/>
        <w:numId w:val="1"/>
      </w:numPr>
      <w:jc w:val="center"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qFormat/>
    <w:rsid w:val="00390D09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90D09"/>
    <w:pPr>
      <w:keepNext/>
      <w:numPr>
        <w:ilvl w:val="6"/>
        <w:numId w:val="1"/>
      </w:numPr>
      <w:jc w:val="center"/>
      <w:outlineLvl w:val="6"/>
    </w:pPr>
    <w:rPr>
      <w:b/>
      <w:bCs/>
      <w:sz w:val="14"/>
    </w:rPr>
  </w:style>
  <w:style w:type="paragraph" w:styleId="Ttulo8">
    <w:name w:val="heading 8"/>
    <w:basedOn w:val="Normal"/>
    <w:next w:val="Normal"/>
    <w:qFormat/>
    <w:rsid w:val="00390D09"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bCs/>
      <w:color w:val="FF0000"/>
    </w:rPr>
  </w:style>
  <w:style w:type="paragraph" w:styleId="Ttulo9">
    <w:name w:val="heading 9"/>
    <w:basedOn w:val="Normal"/>
    <w:next w:val="Normal"/>
    <w:qFormat/>
    <w:rsid w:val="00390D09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90D09"/>
    <w:pPr>
      <w:jc w:val="center"/>
    </w:pPr>
    <w:rPr>
      <w:b/>
      <w:bCs/>
      <w:sz w:val="20"/>
    </w:rPr>
  </w:style>
  <w:style w:type="paragraph" w:styleId="Textoindependiente2">
    <w:name w:val="Body Text 2"/>
    <w:basedOn w:val="Normal"/>
    <w:rsid w:val="00390D09"/>
    <w:rPr>
      <w:b/>
      <w:bCs/>
      <w:sz w:val="20"/>
    </w:rPr>
  </w:style>
  <w:style w:type="paragraph" w:styleId="Textoindependiente3">
    <w:name w:val="Body Text 3"/>
    <w:basedOn w:val="Normal"/>
    <w:rsid w:val="00390D09"/>
    <w:rPr>
      <w:b/>
      <w:bCs/>
      <w:sz w:val="16"/>
    </w:rPr>
  </w:style>
  <w:style w:type="paragraph" w:styleId="Mapadeldocumento">
    <w:name w:val="Document Map"/>
    <w:basedOn w:val="Normal"/>
    <w:semiHidden/>
    <w:rsid w:val="00390D09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390D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90D09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rsid w:val="00390D09"/>
    <w:pPr>
      <w:tabs>
        <w:tab w:val="left" w:pos="720"/>
        <w:tab w:val="right" w:leader="dot" w:pos="9396"/>
      </w:tabs>
      <w:spacing w:before="120" w:after="120"/>
      <w:ind w:left="720" w:hanging="720"/>
    </w:pPr>
    <w:rPr>
      <w:rFonts w:ascii="Verdana" w:hAnsi="Verdana"/>
      <w:b/>
      <w:bCs/>
      <w:caps/>
      <w:noProof/>
    </w:rPr>
  </w:style>
  <w:style w:type="paragraph" w:styleId="TDC2">
    <w:name w:val="toc 2"/>
    <w:basedOn w:val="Normal"/>
    <w:next w:val="Normal"/>
    <w:autoRedefine/>
    <w:semiHidden/>
    <w:rsid w:val="00390D09"/>
    <w:pPr>
      <w:ind w:left="240"/>
    </w:pPr>
    <w:rPr>
      <w:rFonts w:ascii="Times New Roman" w:hAnsi="Times New Roman"/>
      <w:smallCaps/>
    </w:rPr>
  </w:style>
  <w:style w:type="paragraph" w:styleId="TDC3">
    <w:name w:val="toc 3"/>
    <w:basedOn w:val="Normal"/>
    <w:next w:val="Normal"/>
    <w:autoRedefine/>
    <w:semiHidden/>
    <w:rsid w:val="00390D09"/>
    <w:pPr>
      <w:ind w:left="480"/>
    </w:pPr>
    <w:rPr>
      <w:rFonts w:ascii="Times New Roman" w:hAnsi="Times New Roman"/>
      <w:i/>
      <w:iCs/>
    </w:rPr>
  </w:style>
  <w:style w:type="paragraph" w:styleId="TDC4">
    <w:name w:val="toc 4"/>
    <w:basedOn w:val="Normal"/>
    <w:next w:val="Normal"/>
    <w:autoRedefine/>
    <w:semiHidden/>
    <w:rsid w:val="00390D09"/>
    <w:pPr>
      <w:ind w:left="720"/>
    </w:pPr>
    <w:rPr>
      <w:rFonts w:ascii="Times New Roman" w:hAnsi="Times New Roman"/>
      <w:szCs w:val="21"/>
    </w:rPr>
  </w:style>
  <w:style w:type="paragraph" w:styleId="TDC5">
    <w:name w:val="toc 5"/>
    <w:basedOn w:val="Normal"/>
    <w:next w:val="Normal"/>
    <w:autoRedefine/>
    <w:semiHidden/>
    <w:rsid w:val="00390D09"/>
    <w:pPr>
      <w:ind w:left="960"/>
    </w:pPr>
    <w:rPr>
      <w:rFonts w:ascii="Times New Roman" w:hAnsi="Times New Roman"/>
      <w:szCs w:val="21"/>
    </w:rPr>
  </w:style>
  <w:style w:type="paragraph" w:styleId="TDC6">
    <w:name w:val="toc 6"/>
    <w:basedOn w:val="Normal"/>
    <w:next w:val="Normal"/>
    <w:autoRedefine/>
    <w:semiHidden/>
    <w:rsid w:val="00390D09"/>
    <w:pPr>
      <w:ind w:left="1200"/>
    </w:pPr>
    <w:rPr>
      <w:rFonts w:ascii="Times New Roman" w:hAnsi="Times New Roman"/>
      <w:szCs w:val="21"/>
    </w:rPr>
  </w:style>
  <w:style w:type="paragraph" w:styleId="TDC7">
    <w:name w:val="toc 7"/>
    <w:basedOn w:val="Normal"/>
    <w:next w:val="Normal"/>
    <w:autoRedefine/>
    <w:semiHidden/>
    <w:rsid w:val="00390D09"/>
    <w:pPr>
      <w:ind w:left="1440"/>
    </w:pPr>
    <w:rPr>
      <w:rFonts w:ascii="Times New Roman" w:hAnsi="Times New Roman"/>
      <w:szCs w:val="21"/>
    </w:rPr>
  </w:style>
  <w:style w:type="paragraph" w:styleId="TDC8">
    <w:name w:val="toc 8"/>
    <w:basedOn w:val="Normal"/>
    <w:next w:val="Normal"/>
    <w:autoRedefine/>
    <w:semiHidden/>
    <w:rsid w:val="00390D09"/>
    <w:pPr>
      <w:ind w:left="1680"/>
    </w:pPr>
    <w:rPr>
      <w:rFonts w:ascii="Times New Roman" w:hAnsi="Times New Roman"/>
      <w:szCs w:val="21"/>
    </w:rPr>
  </w:style>
  <w:style w:type="paragraph" w:styleId="TDC9">
    <w:name w:val="toc 9"/>
    <w:basedOn w:val="Normal"/>
    <w:next w:val="Normal"/>
    <w:autoRedefine/>
    <w:semiHidden/>
    <w:rsid w:val="00390D09"/>
    <w:pPr>
      <w:ind w:left="1920"/>
    </w:pPr>
    <w:rPr>
      <w:rFonts w:ascii="Times New Roman" w:hAnsi="Times New Roman"/>
      <w:szCs w:val="21"/>
    </w:rPr>
  </w:style>
  <w:style w:type="character" w:styleId="Hipervnculo">
    <w:name w:val="Hyperlink"/>
    <w:rsid w:val="00390D09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390D09"/>
    <w:pPr>
      <w:jc w:val="right"/>
    </w:pPr>
    <w:rPr>
      <w:i/>
      <w:iCs/>
      <w:sz w:val="18"/>
    </w:rPr>
  </w:style>
  <w:style w:type="paragraph" w:styleId="Sangradetextonormal">
    <w:name w:val="Body Text Indent"/>
    <w:basedOn w:val="Normal"/>
    <w:rsid w:val="00390D09"/>
    <w:pPr>
      <w:ind w:left="1980" w:hanging="1980"/>
      <w:jc w:val="both"/>
    </w:pPr>
    <w:rPr>
      <w:rFonts w:ascii="Verdana" w:hAnsi="Verdana"/>
    </w:rPr>
  </w:style>
  <w:style w:type="character" w:styleId="Hipervnculovisitado">
    <w:name w:val="FollowedHyperlink"/>
    <w:rsid w:val="00390D09"/>
    <w:rPr>
      <w:color w:val="800080"/>
      <w:u w:val="single"/>
    </w:rPr>
  </w:style>
  <w:style w:type="paragraph" w:styleId="Sangra2detindependiente">
    <w:name w:val="Body Text Indent 2"/>
    <w:basedOn w:val="Normal"/>
    <w:rsid w:val="00390D09"/>
    <w:pPr>
      <w:spacing w:after="120"/>
      <w:ind w:left="708"/>
      <w:jc w:val="both"/>
    </w:pPr>
    <w:rPr>
      <w:rFonts w:ascii="Verdana" w:hAnsi="Verdana" w:cs="Arial"/>
      <w:szCs w:val="7"/>
      <w:lang w:val="es-ES_tradnl"/>
    </w:rPr>
  </w:style>
  <w:style w:type="character" w:styleId="Refdenotaalpie">
    <w:name w:val="footnote reference"/>
    <w:semiHidden/>
    <w:rsid w:val="00390D09"/>
    <w:rPr>
      <w:vertAlign w:val="superscript"/>
    </w:rPr>
  </w:style>
  <w:style w:type="paragraph" w:styleId="Textonotapie">
    <w:name w:val="footnote text"/>
    <w:basedOn w:val="Normal"/>
    <w:semiHidden/>
    <w:rsid w:val="00390D09"/>
    <w:pPr>
      <w:spacing w:line="360" w:lineRule="auto"/>
      <w:jc w:val="both"/>
    </w:pPr>
    <w:rPr>
      <w:sz w:val="20"/>
      <w:szCs w:val="20"/>
      <w:lang w:val="es-ES_tradnl"/>
    </w:rPr>
  </w:style>
  <w:style w:type="paragraph" w:styleId="Sangra3detindependiente">
    <w:name w:val="Body Text Indent 3"/>
    <w:basedOn w:val="Normal"/>
    <w:rsid w:val="00390D09"/>
    <w:pPr>
      <w:ind w:left="360"/>
      <w:jc w:val="both"/>
    </w:pPr>
    <w:rPr>
      <w:rFonts w:cs="Arial"/>
      <w:iCs/>
      <w:color w:val="000000"/>
    </w:rPr>
  </w:style>
  <w:style w:type="paragraph" w:customStyle="1" w:styleId="Enumera1">
    <w:name w:val="Enumera 1"/>
    <w:basedOn w:val="Listaconvietas"/>
    <w:next w:val="Normal"/>
    <w:rsid w:val="00390D09"/>
    <w:pPr>
      <w:numPr>
        <w:numId w:val="0"/>
      </w:numPr>
      <w:spacing w:line="360" w:lineRule="auto"/>
      <w:ind w:left="454" w:hanging="454"/>
      <w:jc w:val="both"/>
    </w:pPr>
    <w:rPr>
      <w:szCs w:val="20"/>
      <w:lang w:val="es-ES_tradnl"/>
    </w:rPr>
  </w:style>
  <w:style w:type="paragraph" w:styleId="Listaconvietas">
    <w:name w:val="List Bullet"/>
    <w:basedOn w:val="Normal"/>
    <w:autoRedefine/>
    <w:rsid w:val="00390D09"/>
    <w:pPr>
      <w:numPr>
        <w:numId w:val="9"/>
      </w:numPr>
    </w:pPr>
  </w:style>
  <w:style w:type="paragraph" w:styleId="Ttulo">
    <w:name w:val="Title"/>
    <w:basedOn w:val="Normal"/>
    <w:qFormat/>
    <w:rsid w:val="00390D09"/>
    <w:pPr>
      <w:jc w:val="center"/>
    </w:pPr>
    <w:rPr>
      <w:rFonts w:cs="Arial"/>
      <w:b/>
      <w:bCs/>
      <w:sz w:val="22"/>
    </w:rPr>
  </w:style>
  <w:style w:type="character" w:customStyle="1" w:styleId="PiedepginaCar">
    <w:name w:val="Pie de página Car"/>
    <w:link w:val="Piedepgina"/>
    <w:rsid w:val="0038221B"/>
    <w:rPr>
      <w:rFonts w:ascii="Arial" w:hAnsi="Arial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rsid w:val="002927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27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4D0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951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PROCEDIMIENTO</vt:lpstr>
    </vt:vector>
  </TitlesOfParts>
  <Company>SOI LTDA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PROCEDIMIENTO</dc:title>
  <dc:creator>Metroplús</dc:creator>
  <cp:lastModifiedBy>Jose Jaramillo</cp:lastModifiedBy>
  <cp:revision>9</cp:revision>
  <cp:lastPrinted>2023-09-01T16:40:00Z</cp:lastPrinted>
  <dcterms:created xsi:type="dcterms:W3CDTF">2023-08-31T22:42:00Z</dcterms:created>
  <dcterms:modified xsi:type="dcterms:W3CDTF">2024-07-25T15:55:00Z</dcterms:modified>
</cp:coreProperties>
</file>